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33685-2025 i Leksands kommun</w:t>
      </w:r>
    </w:p>
    <w:p>
      <w:r>
        <w:t>Denna tillsynsbegäran behandlar höga naturvärden i avverkningsanmälan A 33685-2025 i Leksands kommun som inkom 2025-07-03 och omfattar 12,2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3685-2025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6727103, E 473688 i SWEREF 99 TM.</w:t>
      </w:r>
    </w:p>
    <w:p>
      <w:r>
        <w:t>I och inom 23 meter från avverkningsanmälan finns fynd av 18 naturvårdsarter, varav 12 är rödlistade, 4 är fridlysta, 12 är typiska (T) och 4 är signalarter (S): garnlav (VU, T), knärot (VU, T, §8), blå taggsvamp (NT, T), dropptaggsvamp (NT, T), furustumpbagge (NT), kolflarnlav (NT, T), mörk kolflarnlav (NT), skarp dropptaggsvamp (NT), skrovlig flatbagge (NT, T), tallticka (NT, T), tretåig hackspett (NT, T, §4), vedskivlav (NT, T), bollvitmossa (S, T), jättesvampmal (S), mindre märgborre (S, T), robust tickgnagare (S),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2.55 ha med buffertzonerna och får av detta skäl inte avverkas.</w:t>
      </w:r>
    </w:p>
    <w:p>
      <w:pPr>
        <w:pStyle w:val="Caption"/>
      </w:pPr>
      <w:r>
        <w:drawing>
          <wp:inline xmlns:a="http://schemas.openxmlformats.org/drawingml/2006/main" xmlns:pic="http://schemas.openxmlformats.org/drawingml/2006/picture">
            <wp:extent cx="5486400" cy="7011605"/>
            <wp:docPr id="2" name="Picture 2"/>
            <wp:cNvGraphicFramePr>
              <a:graphicFrameLocks noChangeAspect="1"/>
            </wp:cNvGraphicFramePr>
            <a:graphic>
              <a:graphicData uri="http://schemas.openxmlformats.org/drawingml/2006/picture">
                <pic:pic>
                  <pic:nvPicPr>
                    <pic:cNvPr id="0" name="A 33685-2025 karta knärot.png"/>
                    <pic:cNvPicPr/>
                  </pic:nvPicPr>
                  <pic:blipFill>
                    <a:blip r:embed="rId17"/>
                    <a:stretch>
                      <a:fillRect/>
                    </a:stretch>
                  </pic:blipFill>
                  <pic:spPr>
                    <a:xfrm>
                      <a:off x="0" y="0"/>
                      <a:ext cx="5486400" cy="70116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6727103, E 473688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Furustumpbagge (NT) </w:t>
      </w:r>
      <w:r>
        <w:t>är en rovlevande skalbagge som lever i gångarna av barkborrar under barken på döda eller döende barrträd, huvudsakligen tall men även gran. Arten är noterad i anknytning till flera olika barkborrearter såsom mindre och större märgborre, blank dvärgborre</w:t>
      </w:r>
      <w:r>
        <w:rPr>
          <w:i/>
        </w:rPr>
        <w:t>,</w:t>
      </w:r>
      <w:r>
        <w:t xml:space="preserve"> avlång barkborre (VU)</w:t>
      </w:r>
      <w:r>
        <w:rPr>
          <w:i/>
        </w:rPr>
        <w:t xml:space="preserve"> </w:t>
      </w:r>
      <w:r>
        <w:t>och granbarkborre. Mycket tyder på att arten är bunden till naturskogar och har speciella krav som inte kan tillgodoses genom normalt, rationellt skogsbruk. Naturskogar med barrträd bör skyddas i hela landet. Likaså bör vindfällen och stående, barkborreangripna träd sparas i lämplig omfattning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dropptaggsvamp (NT, T), kolflarnlav (NT, T), skrovlig flatbagge (NT, T), tallticka (NT, T), tretåig hackspett (NT, T, §4), vedskivlav (NT, T), bollvitmossa (S, T),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