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642-2025 i Rättviks kommun</w:t>
      </w:r>
    </w:p>
    <w:p>
      <w:r>
        <w:t>Denna tillsynsbegäran behandlar höga naturvärden i samrådsanmälan S 642-2025 i Rättviks kommun som inkom 2025-02-26 och omfattar 401,1 ha.</w:t>
      </w:r>
    </w:p>
    <w:p>
      <w:pPr>
        <w:pStyle w:val="Caption"/>
      </w:pPr>
      <w:r>
        <w:drawing>
          <wp:inline xmlns:a="http://schemas.openxmlformats.org/drawingml/2006/main" xmlns:pic="http://schemas.openxmlformats.org/drawingml/2006/picture">
            <wp:extent cx="4189732" cy="5724000"/>
            <wp:docPr id="1" name="Picture 1"/>
            <wp:cNvGraphicFramePr>
              <a:graphicFrameLocks noChangeAspect="1"/>
            </wp:cNvGraphicFramePr>
            <a:graphic>
              <a:graphicData uri="http://schemas.openxmlformats.org/drawingml/2006/picture">
                <pic:pic>
                  <pic:nvPicPr>
                    <pic:cNvPr id="0" name="S 642-2025 karta.png"/>
                    <pic:cNvPicPr/>
                  </pic:nvPicPr>
                  <pic:blipFill>
                    <a:blip r:embed="rId16"/>
                    <a:stretch>
                      <a:fillRect/>
                    </a:stretch>
                  </pic:blipFill>
                  <pic:spPr>
                    <a:xfrm>
                      <a:off x="0" y="0"/>
                      <a:ext cx="418973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6806322, E 510359 i SWEREF 99 TM.</w:t>
      </w:r>
    </w:p>
    <w:p>
      <w:r>
        <w:t>I och inom 23 meter från samrådsanmälan finns fynd av 8 naturvårdsarter, varav 7 är rödlistade, 5 är typiska (T) och 1 är signalart (S): garnlav (VU, T), dvärgbägarlav (NT, T), kolflarnlav (NT, T), kortskaftad ärgspik (NT), vedflamlav (NT), vedskivlav (NT, T), vitgrynig nållav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dvärgbägarlav (NT, T), kolflarnlav (NT, T),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