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28626-2026 i Rättviks kommun</w:t>
      </w:r>
    </w:p>
    <w:p>
      <w:r>
        <w:t>Detta klagomål behandlar höga naturvärden i avverkningsanmälan A 28626-2026 i Rättviks kommun som inkom 2026-06-25 och omfattar 8,3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A 28626-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6766217, E 510602 i SWEREF 99 TM.</w:t>
      </w:r>
    </w:p>
    <w:p>
      <w:r>
        <w:t>I och inom 24 meter från avverkningsanmälan finns fynd av 10 naturvårdsarter, varav 2 är rödlistade, 4 är fridlysta, 5 är typiska (T) och 6 är signalarter (S): hårklockmossa (CR), vårärt (NT, T), bårdlav (S, T), grönkulla (S, T, §8), korallblylav (S, T), skogstimmia (S), svavelriska (S), tvåblad (S, §8),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