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20653-2020 i Rättviks kommun</w:t>
      </w:r>
    </w:p>
    <w:p>
      <w:r>
        <w:t>Detta dokument behandlar höga naturvärden i avverkningsanmälan A 20653-2020 i Rättviks kommun. Denna avverkningsanmälan inkom 2020-04-28 och omfattar 6,0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talltita (NT, §4), korallrot (S, §8) och spindelblomster (S, §8).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070503"/>
            <wp:docPr id="1" name="Picture 1"/>
            <wp:cNvGraphicFramePr>
              <a:graphicFrameLocks noChangeAspect="1"/>
            </wp:cNvGraphicFramePr>
            <a:graphic>
              <a:graphicData uri="http://schemas.openxmlformats.org/drawingml/2006/picture">
                <pic:pic>
                  <pic:nvPicPr>
                    <pic:cNvPr id="0" name="A 20653-2020 karta.png"/>
                    <pic:cNvPicPr/>
                  </pic:nvPicPr>
                  <pic:blipFill>
                    <a:blip r:embed="rId16"/>
                    <a:stretch>
                      <a:fillRect/>
                    </a:stretch>
                  </pic:blipFill>
                  <pic:spPr>
                    <a:xfrm>
                      <a:off x="0" y="0"/>
                      <a:ext cx="5486400" cy="607050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6788686, E 522283 i SWEREF 99 TM.</w:t>
      </w:r>
    </w:p>
    <w:p>
      <w:pPr>
        <w:pStyle w:val="Heading1"/>
      </w:pPr>
      <w:r>
        <w:t>Fridlysta arter</w:t>
      </w:r>
    </w:p>
    <w:p>
      <w:r>
        <w:t>Följande fridlysta arter har sina livsmiljöer och växtplatser i den avverkningsanmälda skogen: talltita (NT, §4), korallrot (S, §8) och spindelblomster (S, §8).</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Korallrot (§8)</w:t>
      </w:r>
      <w:r>
        <w:t xml:space="preserve"> växer i sumpskogar och annan fuktig eller växelfuktig skogsmark, exempelvis i alkärr och kärrkanter, fuktiga bäckdalar, raviner, myrlaggar, sumpiga strandskogar samt i fuktiga lundar. Den visar på mer eller mindre stabila förhållanden och intakt hydrologi och är känslig för avverkning, körskador, skogsgödsling och dikning. Arten är fridlyst enligt 8 § artskyddsförordningen (SLU Artdatabanken, 2024; Nitare &amp; Skogsstyrelsen, 2019).</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2025-07-07</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