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777-2025 i Rättviks kommun</w:t>
      </w:r>
    </w:p>
    <w:p>
      <w:r>
        <w:t>Denna tillsynsbegäran behandlar höga naturvärden i samrådsanmälan S 777-2025 i Rättviks kommun som inkom 2025-03-12 och omfattar 25,1 ha.</w:t>
      </w:r>
    </w:p>
    <w:p>
      <w:pPr>
        <w:pStyle w:val="Caption"/>
      </w:pPr>
      <w:r>
        <w:drawing>
          <wp:inline xmlns:a="http://schemas.openxmlformats.org/drawingml/2006/main" xmlns:pic="http://schemas.openxmlformats.org/drawingml/2006/picture">
            <wp:extent cx="5486400" cy="4578556"/>
            <wp:docPr id="1" name="Picture 1"/>
            <wp:cNvGraphicFramePr>
              <a:graphicFrameLocks noChangeAspect="1"/>
            </wp:cNvGraphicFramePr>
            <a:graphic>
              <a:graphicData uri="http://schemas.openxmlformats.org/drawingml/2006/picture">
                <pic:pic>
                  <pic:nvPicPr>
                    <pic:cNvPr id="0" name="S 777-2025 karta.png"/>
                    <pic:cNvPicPr/>
                  </pic:nvPicPr>
                  <pic:blipFill>
                    <a:blip r:embed="rId16"/>
                    <a:stretch>
                      <a:fillRect/>
                    </a:stretch>
                  </pic:blipFill>
                  <pic:spPr>
                    <a:xfrm>
                      <a:off x="0" y="0"/>
                      <a:ext cx="5486400" cy="457855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6753266, E 509780 i SWEREF 99 TM.</w:t>
      </w:r>
    </w:p>
    <w:p>
      <w:r>
        <w:t>I och inom 25 meter från samrådsanmälan finns fynd av 31 naturvårdsarter, varav 23 är rödlistade, 6 är fridlysta, 10 är typiska (T) och 6 är signalarter (S): bombmurkla (EN, §8), mosippa (EN, T, §8), ruttaggsvamp (EN), frygisk spindling (VU), gulporig ticka (VU), gyllenspindling (VU), knärot (VU, T, §8), kopparspindling (VU), lakritsmusseron (VU, T), lammticka (VU), skrovlig taggsvamp (VU), torrmusseron (VU), tvillingspindling (VU), dropptaggsvamp (NT, T), gultoppig fingersvamp (NT), kronskål (NT), mjölsvärting (NT), orange taggsvamp (NT, T), svart taggsvamp (NT), tallfingersvamp (NT), tallkötticka (NT), talltagel (NT, T), talltaggsvamp (NT), grönpyrola (S, T), gullgröppa (S), korallrot (S, T, §8), plattlummer (S, T, §9), spetsvaxing (S), strimspindling (S), kattfot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p>
      <w:r>
        <w:rPr>
          <w:b/>
        </w:rPr>
        <w:t xml:space="preserve">Frygisk spindling (VU) </w:t>
      </w:r>
      <w:r>
        <w:t>förekommer huvudsakligen i äldre kontinuitetsskog där den bildar mykorrhiza med tall, i kalktallskog och lavtallskog på torr, sandig och kalkrik mark. I norra Sverige även i örtrik barrblandskog på basisk grund. Den totala populationen i landet bedöms ha minskat och förväntas fortsätta minska på grund av slutavverkning av äldre kalkbarrskog. Minskningstakten överstiger gränsvärdet för sårbar (VU). Kalavverkning eller andra åtgärder inom skogsbruket som innebär att trädkontinuiteten bryts är det mest påtagliga hotet mot arten. Frygisk spindling är globalt rödlistad som sårbar (VU) vilket innebär att Sverige har ett internationellt ansvar för arten (SLU Artdatabanken, 2026; IUCN, 2021).</w:t>
      </w:r>
    </w:p>
    <w:p>
      <w:r>
        <w:rPr>
          <w:b/>
        </w:rPr>
        <w:t xml:space="preserve">Gulporig ticka (VU) </w:t>
      </w:r>
      <w:r>
        <w:t>är en vednedbrytare som orsakar vitröta hos tall. Den uppträder mest på omkullfallna, men även stående, döda stammar. Företrädesvis har undertryckta tallar angripits av tickan. Arten är uppenbarligen ytterst sällsynt och hotas därför primärt av åtgärder som förstör växtplatserna. Äldre tallskog med stort inslag av lågor är en bristvara i mer låglänta delar av landet. Det är osäkert om gulporig ticka kan växa i tallskog i fjällnära områden. Kända lokaler bör säkerställas (SLU Artdatabanken, 2024).</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15 fyndplatser för knärot registrerade på Artportalen. Figur 2 visar gränserna för buffertzoner på 50 m, som behöver lämnas kring fyndplatserna för att knärotslokalerna inte ska försvinna vid en avverkning. Av det samrådsanmälda området överlappar 7.88 ha med buffertzonerna och får av detta skäl inte avverkas.</w:t>
      </w:r>
    </w:p>
    <w:p>
      <w:pPr>
        <w:pStyle w:val="Caption"/>
      </w:pPr>
      <w:r>
        <w:drawing>
          <wp:inline xmlns:a="http://schemas.openxmlformats.org/drawingml/2006/main" xmlns:pic="http://schemas.openxmlformats.org/drawingml/2006/picture">
            <wp:extent cx="5486400" cy="5833184"/>
            <wp:docPr id="2" name="Picture 2"/>
            <wp:cNvGraphicFramePr>
              <a:graphicFrameLocks noChangeAspect="1"/>
            </wp:cNvGraphicFramePr>
            <a:graphic>
              <a:graphicData uri="http://schemas.openxmlformats.org/drawingml/2006/picture">
                <pic:pic>
                  <pic:nvPicPr>
                    <pic:cNvPr id="0" name="S 777-2025 karta knärot.png"/>
                    <pic:cNvPicPr/>
                  </pic:nvPicPr>
                  <pic:blipFill>
                    <a:blip r:embed="rId17"/>
                    <a:stretch>
                      <a:fillRect/>
                    </a:stretch>
                  </pic:blipFill>
                  <pic:spPr>
                    <a:xfrm>
                      <a:off x="0" y="0"/>
                      <a:ext cx="5486400" cy="583318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6753266, E 509780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Kronskål (NT) </w:t>
      </w:r>
      <w:r>
        <w:t>bildar mykorrhiza med tall, möjligen även med andra trädslag, i luckig tall- och granskog på kalkrik mark. Den växer mycket ofta tillsammans med purpurknipprot (§8). Avverkning på lokalerna skadar arten liksom annan exploatering som förändrar miljön. Artens växtplatser bör skyddas. För att gynna arten på sikt bör fler områden med barrskog på kalkrikt underlag undantas från skogsbruk (SLU Artdatabanken, 2025).</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mosippa (EN, T, §8), knärot (VU, T, §8), lakritsmusseron (VU, T), dropptaggsvamp (NT, T), orange taggsvamp (NT, T), talltagel (NT, T), grönpyrola (S, T), korallrot (S, T, §8), plattlummer (S, T, §9) och kattfot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