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62540-2025 i Rättviks kommun</w:t>
      </w:r>
    </w:p>
    <w:p>
      <w:r>
        <w:t>Detta klagomål behandlar höga naturvärden i avverkningsanmälan A 62540-2025 i Rättviks kommun som inkom 2025-12-16 och omfattar 2,1 ha.</w:t>
      </w:r>
    </w:p>
    <w:p>
      <w:pPr>
        <w:pStyle w:val="Caption"/>
      </w:pPr>
      <w:r>
        <w:drawing>
          <wp:inline xmlns:a="http://schemas.openxmlformats.org/drawingml/2006/main" xmlns:pic="http://schemas.openxmlformats.org/drawingml/2006/picture">
            <wp:extent cx="5486400" cy="5214051"/>
            <wp:docPr id="1" name="Picture 1"/>
            <wp:cNvGraphicFramePr>
              <a:graphicFrameLocks noChangeAspect="1"/>
            </wp:cNvGraphicFramePr>
            <a:graphic>
              <a:graphicData uri="http://schemas.openxmlformats.org/drawingml/2006/picture">
                <pic:pic>
                  <pic:nvPicPr>
                    <pic:cNvPr id="0" name="A 62540-2025 karta.png"/>
                    <pic:cNvPicPr/>
                  </pic:nvPicPr>
                  <pic:blipFill>
                    <a:blip r:embed="rId16"/>
                    <a:stretch>
                      <a:fillRect/>
                    </a:stretch>
                  </pic:blipFill>
                  <pic:spPr>
                    <a:xfrm>
                      <a:off x="0" y="0"/>
                      <a:ext cx="5486400" cy="5214051"/>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6751447, E 510201 i SWEREF 99 TM.</w:t>
      </w:r>
    </w:p>
    <w:p>
      <w:r>
        <w:t>I och inom 19 meter från avverkningsanmälan finns fynd av 8 naturvårdsarter, varav 4 är rödlistade, 3 är fridlysta och 6 är typiska (T): knärot (VU, T, §8), Phellodon melilotinus (VU), rosenticka (NT, T), ullticka (NT, T), blåsippa (T, §9), brudborste (T), kransmossa (T)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0.39 ha med buffertzonerna och får av detta skäl inte avverkas.</w:t>
      </w:r>
    </w:p>
    <w:p>
      <w:pPr>
        <w:pStyle w:val="Caption"/>
      </w:pPr>
      <w:r>
        <w:drawing>
          <wp:inline xmlns:a="http://schemas.openxmlformats.org/drawingml/2006/main" xmlns:pic="http://schemas.openxmlformats.org/drawingml/2006/picture">
            <wp:extent cx="5486400" cy="6819916"/>
            <wp:docPr id="2" name="Picture 2"/>
            <wp:cNvGraphicFramePr>
              <a:graphicFrameLocks noChangeAspect="1"/>
            </wp:cNvGraphicFramePr>
            <a:graphic>
              <a:graphicData uri="http://schemas.openxmlformats.org/drawingml/2006/picture">
                <pic:pic>
                  <pic:nvPicPr>
                    <pic:cNvPr id="0" name="A 62540-2025 karta knärot.png"/>
                    <pic:cNvPicPr/>
                  </pic:nvPicPr>
                  <pic:blipFill>
                    <a:blip r:embed="rId17"/>
                    <a:stretch>
                      <a:fillRect/>
                    </a:stretch>
                  </pic:blipFill>
                  <pic:spPr>
                    <a:xfrm>
                      <a:off x="0" y="0"/>
                      <a:ext cx="5486400" cy="681991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6751447, E 510201 i SWEREF 99 TM.</w:t>
      </w:r>
    </w:p>
    <w:p>
      <w:r>
        <w:rPr>
          <w:b/>
          <w:i/>
        </w:rPr>
        <w:t>Phellodon melilotinus</w:t>
      </w:r>
      <w:r>
        <w:rPr>
          <w:b/>
        </w:rPr>
        <w:t xml:space="preserve"> (VU) </w:t>
      </w:r>
      <w:r>
        <w:t>är en lädertaggsvamp som bildar mykorrhiza med gran, möjligen även med tall, i äldre barrskog på kalkrik mark. Den totala populationen i landet bedöms ha minskat och förväntas fortsätta minska på grund av slutavverkning av äldre kalkbarrskog och kontinuitetsskog. Arten har begränsad förmåga att återetablera sig efter slutavverkning eller andra storskaliga skogsbruksåtgärder. Det finns inga indikationer på att arten långsiktigt kan etablera eller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