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23986-2026 i Rättviks kommun</w:t>
      </w:r>
    </w:p>
    <w:p>
      <w:r>
        <w:t>Detta klagomål behandlar höga naturvärden i avverkningsanmälan A 23986-2026 i Rättviks kommun som inkom 2026-05-25 och omfattar 12,1 ha.</w:t>
      </w:r>
    </w:p>
    <w:p>
      <w:pPr>
        <w:pStyle w:val="Caption"/>
      </w:pPr>
      <w:r>
        <w:drawing>
          <wp:inline xmlns:a="http://schemas.openxmlformats.org/drawingml/2006/main" xmlns:pic="http://schemas.openxmlformats.org/drawingml/2006/picture">
            <wp:extent cx="5486400" cy="4807670"/>
            <wp:docPr id="1" name="Picture 1"/>
            <wp:cNvGraphicFramePr>
              <a:graphicFrameLocks noChangeAspect="1"/>
            </wp:cNvGraphicFramePr>
            <a:graphic>
              <a:graphicData uri="http://schemas.openxmlformats.org/drawingml/2006/picture">
                <pic:pic>
                  <pic:nvPicPr>
                    <pic:cNvPr id="0" name="A 23986-2026 karta.png"/>
                    <pic:cNvPicPr/>
                  </pic:nvPicPr>
                  <pic:blipFill>
                    <a:blip r:embed="rId16"/>
                    <a:stretch>
                      <a:fillRect/>
                    </a:stretch>
                  </pic:blipFill>
                  <pic:spPr>
                    <a:xfrm>
                      <a:off x="0" y="0"/>
                      <a:ext cx="5486400" cy="480767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6761025, E 532694 i SWEREF 99 TM.</w:t>
      </w:r>
    </w:p>
    <w:p>
      <w:r>
        <w:t>Inom 14 meter från avverkningsanmälan finns fynd av 3 naturvårdsarter, varav 2 är rödlistade och 3 är typiska (T): garnlav (VU, T), ullticka (NT, T) och ormbär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Ormbär</w:t>
      </w:r>
      <w:r>
        <w:t xml:space="preserve"> är typisk art för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