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387-2022 i Rättviks kommun</w:t>
      </w:r>
    </w:p>
    <w:p>
      <w:r>
        <w:t>Denna tillsynsbegäran behandlar höga naturvärden i samrådsanmälan S 387-2022 i Rättviks kommun som inkom 2022-01-21 och omfattar 153,9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S 387-2022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6822070, E 508055 i SWEREF 99 TM.</w:t>
      </w:r>
    </w:p>
    <w:p>
      <w:r>
        <w:t>I och inom 23 meter från samrådsanmälan finns fynd av 13 naturvårdsarter, varav 10 är rödlistade, 2 är fridlysta, 8 är typiska (T) och 2 är signalarter (S): garnlav (VU, T), goliatmusseron (VU, T), dvärgbägarlav (NT, T), kolflarnlav (NT, T), kortskaftad ärgspik (NT), mörk kolflarnlav (NT), varglav (NT, §8), vedflamlav (NT), vedskivlav (NT, T), vitgrynig nållav (NT), mindre märgborre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goliatmusseron (VU, T), dvärgbägarlav (NT, T), kolflarnlav (NT, T), vedskivlav (NT, T), mindre märgborre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