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777-2025 i Rättviks kommun</w:t>
      </w:r>
    </w:p>
    <w:p>
      <w:r>
        <w:t>Denna tillsynsbegäran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6753266, E 509780 i SWEREF 99 TM.</w:t>
      </w:r>
    </w:p>
    <w:p>
      <w:r>
        <w:t>I och inom 25 meter från samrådsanmälan finns fynd av 27 naturvårdsarter, varav 21 är rödlistade, 6 är fridlysta, 8 är typiska (T) och 5 är signalarter (S): bombmurkla (EN, §8), mosippa (EN, T, §8), ruttaggsvamp (EN), frygisk spindling (VU), gulporig ticka (VU), knärot (VU, T, §8), kopparspindling (VU), lakritsmusseron (VU, T), lammticka (VU), skrovlig taggsvamp (VU), torrmusseron (VU), tvillingspindling (VU), dropptaggsvamp (NT, T), gultoppig fingersvamp (NT), kronskål (NT), mjölsvärting (NT), orange taggsvamp (NT, T), tallfingersvamp (NT), tallkötticka (NT), talltagel (NT, T), talltaggsvamp (NT), gullgröppa (S), korallrot (S, T, §8), plattlummer (S, T, §9), spetsvaxing (S), strimspindling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13 fyndplatser för knärot registrerade på Artportalen. Figur 2 visar gränserna för buffertzoner på 50 m, som behöver lämnas kring fyndplatserna för att knärotslokalerna inte ska försvinna vid en avverkning. Av det samrådsanmälda området överlappar 7.28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lakritsmusseron (VU, T), dropptaggsvamp (NT, T), orange taggsvamp (NT, T), talltagel (NT, T), korallrot (S, T, §8)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