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777-2025 i Rättviks kommun</w:t>
      </w:r>
    </w:p>
    <w:p>
      <w:r>
        <w:t>Detta klagomål behandlar höga naturvärden i samrådsanmälan S 777-2025 i Rättviks kommun som inkom 2025-03-12 och omfattar 25,1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S 777-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6753266, E 509780 i SWEREF 99 TM.</w:t>
      </w:r>
    </w:p>
    <w:p>
      <w:r>
        <w:t>I och inom 25 meter från samrådsanmälan finns fynd av 27 naturvårdsarter, varav 21 är rödlistade, 6 är fridlysta, 8 är typiska (T) och 5 är signalarter (S): bombmurkla (EN, §8), mosippa (EN, T, §8), ruttaggsvamp (EN), frygisk spindling (VU), gulporig ticka (VU), knärot (VU, T, §8), kopparspindling (VU), lakritsmusseron (VU, T), lammticka (VU), skrovlig taggsvamp (VU), torrmusseron (VU), tvillingspindling (VU), dropptaggsvamp (NT, T), gultoppig fingersvamp (NT), kronskål (NT), mjölsvärting (NT), orange taggsvamp (NT, T), tallfingersvamp (NT), tallkötticka (NT), talltagel (NT, T), talltaggsvamp (NT), gullgröppa (S), korallrot (S, T, §8), plattlummer (S, T, §9), spetsvaxing (S), strimspindling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 xml:space="preserve">Gulporig ticka (VU) </w:t>
      </w:r>
      <w:r>
        <w:t>är en vednedbrytare som orsakar vitröta hos tall. Den uppträder mest på omkullfallna, men även stående, döda stammar. Företrädesvis har undertryckta tallar angripits av tickan. Arten är uppenbarligen ytterst sällsynt och hotas därför primärt av åtgärder som förstör växtplatserna. Äldre tallskog med stort inslag av lågor är en bristvara i mer låglänta delar av landet. Det är osäkert om gulporig ticka kan växa i tallskog i fjällnära områden. Kända lokaler bör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13 fyndplatser för knärot registrerade på Artportalen. Figur 2 visar gränserna för buffertzoner på 50 m, som behöver lämnas kring fyndplatserna för att knärotslokalerna inte ska försvinna vid en avverkning. Av det samrådsanmälda området överlappar 7.28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S 777-2025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6753266, E 509780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