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780-2025 i Rättviks kommun</w:t>
      </w:r>
    </w:p>
    <w:p>
      <w:r>
        <w:t>Detta klagomål behandlar höga naturvärden i samrådsanmälan S 780-2025 i Rättviks kommun som inkom 2025-03-12 och omfattar 78,8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S 780-2025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6793815, E 518061 i SWEREF 99 TM.</w:t>
      </w:r>
    </w:p>
    <w:p>
      <w:r>
        <w:t>I och inom 7 meter från samrådsanmälan finns fynd av 24 naturvårdsarter, varav 17 är rödlistade, 1 är fridlyst, 16 är typiska (T) och 7 är signalarter (S): gräddporing (VU, T), laxporing (VU), raggbock (VU, T), skrovlig taggsvamp (VU), dropptaggsvamp (NT, T), dvärgbägarlav (NT, T), kolflarnlav (NT, T), kortskaftad ärgspik (NT), lunglav (NT, T), motaggsvamp (NT, T), mörk kolflarnlav (NT), nordtagging (NT), skuggblåslav (NT, T), tretåig hackspett (NT, T, §4), vaddporing (NT), vedflamlav (NT), vedskivlav (NT, T), bollvitmossa (S, T), jättesvampmal (S), mindre märgborre (S, T), rävticka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