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15164-2026 i Rättviks kommun</w:t>
      </w:r>
    </w:p>
    <w:p>
      <w:r>
        <w:t>Detta klagomål behandlar höga naturvärden i avverkningsanmälan A 15164-2026 i Rättviks kommun som inkom 2026-03-24 och omfattar 15,9 ha.</w:t>
      </w:r>
    </w:p>
    <w:p>
      <w:pPr>
        <w:pStyle w:val="Caption"/>
      </w:pPr>
      <w:r>
        <w:drawing>
          <wp:inline xmlns:a="http://schemas.openxmlformats.org/drawingml/2006/main" xmlns:pic="http://schemas.openxmlformats.org/drawingml/2006/picture">
            <wp:extent cx="5486400" cy="3993194"/>
            <wp:docPr id="1" name="Picture 1"/>
            <wp:cNvGraphicFramePr>
              <a:graphicFrameLocks noChangeAspect="1"/>
            </wp:cNvGraphicFramePr>
            <a:graphic>
              <a:graphicData uri="http://schemas.openxmlformats.org/drawingml/2006/picture">
                <pic:pic>
                  <pic:nvPicPr>
                    <pic:cNvPr id="0" name="A 15164-2026 karta.png"/>
                    <pic:cNvPicPr/>
                  </pic:nvPicPr>
                  <pic:blipFill>
                    <a:blip r:embed="rId16"/>
                    <a:stretch>
                      <a:fillRect/>
                    </a:stretch>
                  </pic:blipFill>
                  <pic:spPr>
                    <a:xfrm>
                      <a:off x="0" y="0"/>
                      <a:ext cx="5486400" cy="399319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6765765, E 520819 i SWEREF 99 TM.</w:t>
      </w:r>
    </w:p>
    <w:p>
      <w:r>
        <w:t>I och inom 23 meter från avverkningsanmälan finns fynd av 6 naturvårdsarter, varav 1 är rödlistad, 5 är fridlysta och 1 är signalart (S): brunklöver (NT), tvåblad (S, §8), fläcknycklar (§8), nattviol (§8), vanliga ängsnycklar (§8)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