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12767-2026 i Rättviks kommun</w:t>
      </w:r>
    </w:p>
    <w:p>
      <w:r>
        <w:t>Detta klagomål behandlar höga naturvärden i avverkningsanmälan A 12767-2026 i Rättviks kommun som inkom 2026-03-10 och omfattar 10,1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12767-2026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6783041, E 508109 i SWEREF 99 TM.</w:t>
      </w:r>
    </w:p>
    <w:p>
      <w:r>
        <w:t>I och inom 22 meter från avverkningsanmälan finns fynd av 17 naturvårdsarter, varav 16 är rödlistade, 1 är fridlyst, 5 är typiska (T) och 1 är signalart (S): lammticka (VU), Ramaria neoformosa (VU), rotfingersvamp (VU), skrovlig taggsvamp (VU), torrmusseron (VU), blå taggsvamp (NT, T), dropptaggsvamp (NT, T), gelatinfingersvamp (NT), motaggsvamp (NT, T), orange taggsvamp (NT, T), skarp dropptaggsvamp (NT), såpfingersvamp (NT), tallfingersvamp (NT), tallriska (NT), talltaggsvamp (NT), Ramaria subtilis (DD)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i/>
        </w:rPr>
        <w:t xml:space="preserve">Ramaria subtilis </w:t>
      </w:r>
      <w:r>
        <w:rPr>
          <w:b/>
        </w:rPr>
        <w:t>(DD)</w:t>
      </w:r>
      <w:r>
        <w:t xml:space="preserve"> är en korallfingersvamp som bildar mykorrhiza med gran och troligen även med tall i kalkbarrskog. Arten är sannolikt knuten till boreala kalkbarrskogar och bedöms påverkas negativt av brist på kontinuitetsskog, men kunskapen om dess ekologi och utbredning är fortfarande bristfällig. Faktaunderlaget bedöms vara otillräckligt för att avgöra vilken av de olika rödlistningskategorierna som är mest trolig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