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35453-2026 i Rättviks kommun</w:t>
      </w:r>
    </w:p>
    <w:p>
      <w:r>
        <w:t>Denna tillsynsbegäran behandlar höga naturvärden i avverkningsanmälan A 35453-2026 i Rättviks kommun som inkom 2026-08-28 och omfattar 8,0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35453-2026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6757481, E 514012 i SWEREF 99 TM.</w:t>
      </w:r>
    </w:p>
    <w:p>
      <w:r>
        <w:t>I och inom 24 meter från avverkningsanmälan finns fynd av 18 naturvårdsarter, varav 6 är rödlistade, 7 är fridlysta, 15 är typiska (T) och 6 är signalarter (S): garnlav (VU, T), knärot (VU, T, §8), rosenticka (NT, T), rynkskinn (NT, T), talltita (NT, §4), ullticka (NT, T), björksplintborre (S), guckusko (S, T, §7), mindre märgborre (S, T), tibast (S, T), underviol (S, T), vedticka (S, T), blåsippa (T, §9), kransmossa (T), ormbär (T), spillkråka (T, §4), tofsmes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6150009"/>
            <wp:docPr id="2" name="Picture 2"/>
            <wp:cNvGraphicFramePr>
              <a:graphicFrameLocks noChangeAspect="1"/>
            </wp:cNvGraphicFramePr>
            <a:graphic>
              <a:graphicData uri="http://schemas.openxmlformats.org/drawingml/2006/picture">
                <pic:pic>
                  <pic:nvPicPr>
                    <pic:cNvPr id="0" name="A 35453-2026 karta knärot.png"/>
                    <pic:cNvPicPr/>
                  </pic:nvPicPr>
                  <pic:blipFill>
                    <a:blip r:embed="rId17"/>
                    <a:stretch>
                      <a:fillRect/>
                    </a:stretch>
                  </pic:blipFill>
                  <pic:spPr>
                    <a:xfrm>
                      <a:off x="0" y="0"/>
                      <a:ext cx="5486400" cy="615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6757481, E 514012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ullticka (NT, T), guckusko (S, T, §7), mindre märgborre (S, T), tibast (S, T), underviol (S, T), vedticka (S, T), blåsippa (T, §9), kransmossa (T), ormbär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