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31 naturvårdsarter, varav 23 är rödlistade, 6 är fridlysta, 10 är typiska (T) och 6 är signalarter (S): bombmurkla (EN, §8), mosippa (EN, T, §8), ruttaggsvamp (EN), frygisk spindling (VU), gulporig ticka (VU), gyllenspindling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15 fyndplatser för knärot registrerade på Artportalen. Figur 2 visar gränserna för buffertzoner på 50 m, som behöver lämnas kring fyndplatserna för att knärotslokalerna inte ska försvinna vid en avverkning. Av det samrådsanmälda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grönpyrola (S, T), korallrot (S, T, §8), plattlummer (S, T, §9)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