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Skyddsvärd skog som behandlar naturvårdsarter och andra kriterier för naturvärdesbedömning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Kritporing - ekologi samt krav på livsmiljön</w:t>
      </w:r>
    </w:p>
    <w:p>
      <w:r>
        <w:t xml:space="preserve">Den akut hotade vedsvampen kritporing </w:t>
      </w:r>
      <w:r>
        <w:rPr>
          <w:i/>
        </w:rPr>
        <w:t>Resinoporia crassa (CR)</w:t>
      </w:r>
      <w:r>
        <w:t xml:space="preserve">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