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6574-2026 i Rättviks kommun</w:t>
      </w:r>
    </w:p>
    <w:p>
      <w:r>
        <w:t>Detta dokument behandlar höga naturvärden i avverkningsanmälan A 6574-2026 i Rättviks kommun. Denna avverkningsanmälan inkom 2026-01-30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ruttaggsvamp (VU) och kronskål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6574-2026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6752326, E 509220 i SWEREF 99 TM.</w:t>
      </w:r>
    </w:p>
    <w:p>
      <w:r>
        <w:rPr>
          <w:b/>
        </w:rPr>
        <w:t xml:space="preserve">Kronskål (NT) </w:t>
      </w:r>
      <w:r>
        <w:t>bildar mykorrhiza med tall, möjligen även med andra trädslag, i luckig tall- och granskog på kalkrik mark. Den växer mycket ofta tillsammans med purpurknipprot (§8). Avverkning på lokalerna skadar arten liksom annan exploatering som förändrar miljön. Artens växtplatser bör skyddas. För att gynna arten på sikt bör fler områden med barrskog på kalkrikt underlag undantas från skogsbruk (SLU Artdatabanken, 2025).</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