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30 naturvårdsarter, varav 22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14 fyndplatser för knärot registrerade på Artportalen. Figur 2 visar gränserna för buffertzoner på 50 m, som behöver lämnas kring fyndplatserna för att knärotslokalerna inte ska försvinna vid en avverkning. Av det samrådsanmälda området överlappar 7.47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