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31 naturvårdsarter, varav 23 är rödlistade, 6 är fridlysta, 10 är typiska (T) och 6 är signalarter (S): bombmurkla (EN, §8), mosippa (EN, T, §8), ruttaggsvamp (EN), frygisk spindling (VU), gulporig ticka (VU), gyllenspindling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15 fyndplatser för knärot registrerade på Artportalen. Figur 2 visar gränserna för buffertzoner på 50 m, som behöver lämnas kring fyndplatserna för att knärotslokalerna inte ska försvinna vid en avverkning. Av det samrådsanmälda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