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16116-2024 i Rättviks kommun</w:t>
      </w:r>
    </w:p>
    <w:p>
      <w:r>
        <w:t>Detta dokument behandlar höga naturvärden i avverkningsanmälan A 16116-2024 i Rättviks kommun. Denna avverkningsanmälan inkom 2024-04-24 11:35:32 och omfattar 19,1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korallblylav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16725"/>
            <wp:docPr id="1" name="Picture 1"/>
            <wp:cNvGraphicFramePr>
              <a:graphicFrameLocks noChangeAspect="1"/>
            </wp:cNvGraphicFramePr>
            <a:graphic>
              <a:graphicData uri="http://schemas.openxmlformats.org/drawingml/2006/picture">
                <pic:pic>
                  <pic:nvPicPr>
                    <pic:cNvPr id="0" name="A 16116-2024 karta.png"/>
                    <pic:cNvPicPr/>
                  </pic:nvPicPr>
                  <pic:blipFill>
                    <a:blip r:embed="rId16"/>
                    <a:stretch>
                      <a:fillRect/>
                    </a:stretch>
                  </pic:blipFill>
                  <pic:spPr>
                    <a:xfrm>
                      <a:off x="0" y="0"/>
                      <a:ext cx="5486400" cy="34167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6769862, E 506635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