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54310-2025 i Rättviks kommun</w:t>
      </w:r>
    </w:p>
    <w:p>
      <w:r>
        <w:t>Detta dokument behandlar höga naturvärden i avverkningsanmälan A 54310-2025 i Rättviks kommun. Denna avverkningsanmälan inkom 2025-11-04 07:28:48 och omfattar 1,4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dofttaggsvamp (NT) och rosenticka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87644"/>
            <wp:docPr id="1" name="Picture 1"/>
            <wp:cNvGraphicFramePr>
              <a:graphicFrameLocks noChangeAspect="1"/>
            </wp:cNvGraphicFramePr>
            <a:graphic>
              <a:graphicData uri="http://schemas.openxmlformats.org/drawingml/2006/picture">
                <pic:pic>
                  <pic:nvPicPr>
                    <pic:cNvPr id="0" name="A 54310-2025 karta.png"/>
                    <pic:cNvPicPr/>
                  </pic:nvPicPr>
                  <pic:blipFill>
                    <a:blip r:embed="rId16"/>
                    <a:stretch>
                      <a:fillRect/>
                    </a:stretch>
                  </pic:blipFill>
                  <pic:spPr>
                    <a:xfrm>
                      <a:off x="0" y="0"/>
                      <a:ext cx="5486400" cy="558764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6751941, E 509923 i SWEREF 99 TM.</w:t>
      </w:r>
    </w:p>
    <w:p>
      <w:r>
        <w:rPr>
          <w:b/>
        </w:rPr>
        <w:t xml:space="preserve">Dofttaggsvamp (NT) </w:t>
      </w:r>
      <w:r>
        <w:t xml:space="preserve">bildar mykorrhiza med gran i framför allt äldre ängsgranskog eller örtrik granskog av frisk lågörttyp. Arten hotas huvudsakligen av slutavverkning och den överlever sannolikt inte en avverkning eftersom den är beroende de levande barrträdens rötter. Troligen missgynnas den av allt för hård gallring eller plockhuggning om huggningen inte efterföljs av skogsbete. Fler örtrika barrskogar, särskilt de med trädkontinuitet, måste skyddas i större utsträckning än vad som tidigare gjorts. Dofttaggsvamp är typisk art för </w:t>
      </w:r>
      <w:r>
        <w:rPr>
          <w:i/>
        </w:rPr>
        <w:t>9050 Näringsrik granskog</w:t>
      </w:r>
      <w:r>
        <w:t xml:space="preserve"> (SLU Artdatabanken, 2024).</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