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1279-2025 i Rättviks kommun</w:t>
      </w:r>
    </w:p>
    <w:p>
      <w:r>
        <w:t>Detta klagomål behandlar höga naturvärden i samrådsanmälan S 1279-2025 i Rättviks kommun som inkom 2025-04-17 och omfattar 128,3 ha.</w:t>
      </w:r>
    </w:p>
    <w:p>
      <w:pPr>
        <w:pStyle w:val="Caption"/>
      </w:pPr>
      <w:r>
        <w:drawing>
          <wp:inline xmlns:a="http://schemas.openxmlformats.org/drawingml/2006/main" xmlns:pic="http://schemas.openxmlformats.org/drawingml/2006/picture">
            <wp:extent cx="5486400" cy="5427954"/>
            <wp:docPr id="1" name="Picture 1"/>
            <wp:cNvGraphicFramePr>
              <a:graphicFrameLocks noChangeAspect="1"/>
            </wp:cNvGraphicFramePr>
            <a:graphic>
              <a:graphicData uri="http://schemas.openxmlformats.org/drawingml/2006/picture">
                <pic:pic>
                  <pic:nvPicPr>
                    <pic:cNvPr id="0" name="S 1279-2025 karta.png"/>
                    <pic:cNvPicPr/>
                  </pic:nvPicPr>
                  <pic:blipFill>
                    <a:blip r:embed="rId16"/>
                    <a:stretch>
                      <a:fillRect/>
                    </a:stretch>
                  </pic:blipFill>
                  <pic:spPr>
                    <a:xfrm>
                      <a:off x="0" y="0"/>
                      <a:ext cx="5486400" cy="542795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6808748, E 507342 i SWEREF 99 TM.</w:t>
      </w:r>
    </w:p>
    <w:p>
      <w:r>
        <w:t>I samrådsanmälan finns fynd av 6 naturvårdsarter, varav 4 är rödlistade, 2 är fridlysta, 4 är typiska (T) och 1 är signalart (S): raggbock (VU, T), dropptaggsvamp (NT, T), skarp dropptaggsvamp (NT), tallticka (NT, T), spindelblomster (S, T,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