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3447-2025 i Rättviks kommun</w:t>
      </w:r>
    </w:p>
    <w:p>
      <w:r>
        <w:t>Detta klagomål behandlar höga naturvärden i samrådsanmälan S 3447-2025 i Rättviks kommun som inkom 2025-12-05 och omfattar 437,8 ha.</w:t>
      </w:r>
    </w:p>
    <w:p>
      <w:pPr>
        <w:pStyle w:val="Caption"/>
      </w:pPr>
      <w:r>
        <w:drawing>
          <wp:inline xmlns:a="http://schemas.openxmlformats.org/drawingml/2006/main" xmlns:pic="http://schemas.openxmlformats.org/drawingml/2006/picture">
            <wp:extent cx="5486400" cy="4935216"/>
            <wp:docPr id="1" name="Picture 1"/>
            <wp:cNvGraphicFramePr>
              <a:graphicFrameLocks noChangeAspect="1"/>
            </wp:cNvGraphicFramePr>
            <a:graphic>
              <a:graphicData uri="http://schemas.openxmlformats.org/drawingml/2006/picture">
                <pic:pic>
                  <pic:nvPicPr>
                    <pic:cNvPr id="0" name="S 3447-2025 karta.png"/>
                    <pic:cNvPicPr/>
                  </pic:nvPicPr>
                  <pic:blipFill>
                    <a:blip r:embed="rId16"/>
                    <a:stretch>
                      <a:fillRect/>
                    </a:stretch>
                  </pic:blipFill>
                  <pic:spPr>
                    <a:xfrm>
                      <a:off x="0" y="0"/>
                      <a:ext cx="5486400" cy="493521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6764212, E 526315 i SWEREF 99 TM.</w:t>
      </w:r>
    </w:p>
    <w:p>
      <w:r>
        <w:t>I samrådsanmälan finns fynd av 5 naturvårdsarter, varav 3 är rödlistade, 3 är fridlysta, 4 är typiska (T) och 1 är signalart (S): blå taggsvamp (NT, T), fjällig taggsvamp s.str. (NT), lavskrika (NT, T, §4), plattlummer (S, T, §9)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