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45776-2023 i Orsa kommun</w:t>
      </w:r>
    </w:p>
    <w:p>
      <w:r>
        <w:t>Denna tillsynsbegäran behandlar höga naturvärden i avverkningsanmälan A 45776-2023 i Orsa kommun som inkom 2023-09-26 och omfattar 10,7 ha.</w:t>
      </w:r>
    </w:p>
    <w:p>
      <w:pPr>
        <w:pStyle w:val="Caption"/>
      </w:pPr>
      <w:r>
        <w:drawing>
          <wp:inline xmlns:a="http://schemas.openxmlformats.org/drawingml/2006/main" xmlns:pic="http://schemas.openxmlformats.org/drawingml/2006/picture">
            <wp:extent cx="5027721" cy="5724000"/>
            <wp:docPr id="1" name="Picture 1"/>
            <wp:cNvGraphicFramePr>
              <a:graphicFrameLocks noChangeAspect="1"/>
            </wp:cNvGraphicFramePr>
            <a:graphic>
              <a:graphicData uri="http://schemas.openxmlformats.org/drawingml/2006/picture">
                <pic:pic>
                  <pic:nvPicPr>
                    <pic:cNvPr id="0" name="A 45776-2023 karta.png"/>
                    <pic:cNvPicPr/>
                  </pic:nvPicPr>
                  <pic:blipFill>
                    <a:blip r:embed="rId16"/>
                    <a:stretch>
                      <a:fillRect/>
                    </a:stretch>
                  </pic:blipFill>
                  <pic:spPr>
                    <a:xfrm>
                      <a:off x="0" y="0"/>
                      <a:ext cx="502772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6787710, E 480983 i SWEREF 99 TM.</w:t>
      </w:r>
    </w:p>
    <w:p>
      <w:r>
        <w:t>I och inom 25 meter från avverkningsanmälan finns fynd av 34 naturvårdsarter, varav 26 är rödlistade, 3 är fridlysta, 18 är typiska (T) och 7 är signalarter (S): sammetstaggsvamp (EN), garnlav (VU, T), knärot (VU, T, §8), rotfingersvamp (VU), skrovlig taggsvamp (VU), ulltickeporing (VU), dropptaggsvamp (NT, T), mjölsvärting (NT), motaggsvamp (NT, T), mörk kolflarnlav (NT), nordtagging (NT), orange taggsvamp (NT, T), rosenticka (NT, T), rynkskinn (NT, T), skarp dropptaggsvamp (NT), svartvit taggsvamp (NT), tallfingersvamp (NT), talltagel (NT, T), tallticka (NT, T), talltita (NT, §4), tretåig hackspett (NT, T, §4), ullticka (NT, T), vaddporing (NT), vaxspindling (NT), vedskivlav (NT, T), violettgrå tagellav (NT, T), björksplintborre (S), bronshjon (S, T), gullgröppa (S), mindre märgborre (S, T), rävticka (S, T), tibast (S, T), vågbandad barkbock (S) och kärrfibbla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Sammetstaggsvamp (EN) </w:t>
      </w:r>
      <w:r>
        <w:t>är en starkt hotad art som</w:t>
      </w:r>
      <w:r>
        <w:rPr>
          <w:b/>
        </w:rPr>
        <w:t xml:space="preserve"> </w:t>
      </w:r>
      <w:r>
        <w:t>bildar mykorrhiza med gran, i örtrik kalkgranskog eller annan bördig granskog av lågörtstyp. Arten ingår i ett åtgärdsprogram för hotade arter (ÅGP) och samtliga växtplatser måste undantas från storskaligt skogsbruk. Lokalerna bör bevakas, följas upp och skyddas formellt. För att på lång sikt öka artens möjligheter att överleva måste fler, äldre barrskogspartier på kalkrik mark skyddas. Sammetstaggsvamp är globalt rödlistad som sårbar (VU) och Sverige hyser sannolikt en stor andel av svampens hela europeiska population, vilket medför ett särskilt stort nationellt och internationellt ansvar för artens bevarande (IUCN, 2025; SLU Artdatabanken, 2026; Nitare &amp; Skogsstyrelsen, 2019; Nitare, 2006).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5171544"/>
            <wp:docPr id="2" name="Picture 2"/>
            <wp:cNvGraphicFramePr>
              <a:graphicFrameLocks noChangeAspect="1"/>
            </wp:cNvGraphicFramePr>
            <a:graphic>
              <a:graphicData uri="http://schemas.openxmlformats.org/drawingml/2006/picture">
                <pic:pic>
                  <pic:nvPicPr>
                    <pic:cNvPr id="0" name="A 45776-2023 karta knärot.png"/>
                    <pic:cNvPicPr/>
                  </pic:nvPicPr>
                  <pic:blipFill>
                    <a:blip r:embed="rId17"/>
                    <a:stretch>
                      <a:fillRect/>
                    </a:stretch>
                  </pic:blipFill>
                  <pic:spPr>
                    <a:xfrm>
                      <a:off x="0" y="0"/>
                      <a:ext cx="5486400" cy="51715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6787710, E 480983 i SWEREF 99 TM.</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Rävticka</w:t>
      </w:r>
      <w:r>
        <w:t xml:space="preserve"> är typisk art för </w:t>
      </w:r>
      <w:r>
        <w:rPr>
          <w:i/>
        </w:rPr>
        <w:t xml:space="preserve">9010 Taiga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motaggsvamp (NT, T), orange taggsvamp (NT, T), rosenticka (NT, T), rynkskinn (NT, T), talltagel (NT, T), tallticka (NT, T), tretåig hackspett (NT, T, §4), ullticka (NT, T), vedskivlav (NT, T), violettgrå tagellav (NT, T), bronshjon (S, T), mindre märgborre (S, T), rävticka (S, T), tibast (S, T) och kärrfibbla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