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23 naturvårdsarter, varav 19 är rödlistade, 5 är fridlysta, 12 är typiska (T) och 2 är signalarter (S): garnlav (VU, T), gräddporing (VU, T), gränsticka (VU, T), smalfotad taggsvamp (VU), blanksvart spiklav (NT), blå taggsvamp (NT, T), blågrå svartspik (NT), dropptaggsvamp (NT, T), grönhjon (NT), kolflarnlav (NT, T), kortskaftad ärgspik (NT), mörk kolflarnlav (NT), nordtagging (NT),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