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20 meter från avverkningsanmälan finns fynd av 16 naturvårdsarter, varav 14 är rödlistade, 1 är fridlyst, 7 är typiska (T) och 1 är signalart (S): garnlav (VU, T), lammticka (VU), rotfingersvamp (VU), skrovlig taggsvamp (VU), tallgråticka (VU), backstarr (NT), dropptaggsvamp (NT, T), grantaggsvamp (NT),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