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707-2024 i Orsa kommun</w:t>
      </w:r>
    </w:p>
    <w:p>
      <w:r>
        <w:t>Denna tillsynsbegäran behandlar höga naturvärden i avverkningsanmälan A 707-2024 i Orsa kommun som inkom 2024-01-09 och omfattar 9,4 ha.</w:t>
      </w:r>
    </w:p>
    <w:p>
      <w:pPr>
        <w:pStyle w:val="Caption"/>
      </w:pPr>
      <w:r>
        <w:drawing>
          <wp:inline xmlns:a="http://schemas.openxmlformats.org/drawingml/2006/main" xmlns:pic="http://schemas.openxmlformats.org/drawingml/2006/picture">
            <wp:extent cx="5210147" cy="5724000"/>
            <wp:docPr id="1" name="Picture 1"/>
            <wp:cNvGraphicFramePr>
              <a:graphicFrameLocks noChangeAspect="1"/>
            </wp:cNvGraphicFramePr>
            <a:graphic>
              <a:graphicData uri="http://schemas.openxmlformats.org/drawingml/2006/picture">
                <pic:pic>
                  <pic:nvPicPr>
                    <pic:cNvPr id="0" name="A 707-2024 karta.png"/>
                    <pic:cNvPicPr/>
                  </pic:nvPicPr>
                  <pic:blipFill>
                    <a:blip r:embed="rId16"/>
                    <a:stretch>
                      <a:fillRect/>
                    </a:stretch>
                  </pic:blipFill>
                  <pic:spPr>
                    <a:xfrm>
                      <a:off x="0" y="0"/>
                      <a:ext cx="52101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6811511, E 481203 i SWEREF 99 TM.</w:t>
      </w:r>
    </w:p>
    <w:p>
      <w:r>
        <w:t>I avverkningsanmälan finns fynd av 7 naturvårdsarter, varav 6 är rödlistade, 2 är fridlysta och 6 är typiska (T): garnlav (VU, T), doftskinn (NT, T), knottrig blåslav (NT, T), talltagel (NT, T), tretåig hackspett (NT, T, §4), violettgrå tagellav (NT,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knottrig blåslav (NT, T), talltagel (NT, T), tretåig hackspett (NT, T, §4)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