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som inkom 2023-12-11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38 naturvårdsarter hittats: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salskrake (§4), sångsvan (§4), trana (§4), utter (§4a), ärtsångare (§4), vanlig groda (§6) och nattviol (§8). Av dessa är 23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325616" cy="5688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432561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2"/>
      </w:pPr>
      <w:r>
        <w:t>Fridlysta arter</w:t>
      </w:r>
    </w:p>
    <w:p>
      <w:r>
        <w:t>Följande fridlysta arter har sina livsmiljöer och växtplatser i den avverkningsanmälda skogen: storspov (EN, §4), grönfink (VU, §4), knärot (VU, T, §8), stare (VU, §4), tofsvipa (VU, §4), björktrast (NT, §4), duvhök (NT, §4), gulsparv (NT, §4), ladusvala (NT, §4), rödvingetrast (NT, §4), sädesärla (NT, §4), talltita (NT, §4), tretåig hackspett (NT, T, §4), korallrot (S, T, §8), tvåblad (S, §8), spillkråka (T, §4), buskskvätta (§4), salskrake (§4), sångsvan (§4), trana (§4), utter (§4a), ärtsångare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