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61338-2024 i Orsa kommun</w:t>
      </w:r>
    </w:p>
    <w:p>
      <w:r>
        <w:t>Denna tillsynsbegäran behandlar höga naturvärden i avverkningsanmälan A 61338-2024 i Orsa kommun som inkom 2024-12-20 och omfattar 10,2 ha.</w:t>
      </w:r>
    </w:p>
    <w:p>
      <w:pPr>
        <w:pStyle w:val="Caption"/>
      </w:pPr>
      <w:r>
        <w:drawing>
          <wp:inline xmlns:a="http://schemas.openxmlformats.org/drawingml/2006/main" xmlns:pic="http://schemas.openxmlformats.org/drawingml/2006/picture">
            <wp:extent cx="5486400" cy="4628561"/>
            <wp:docPr id="1" name="Picture 1"/>
            <wp:cNvGraphicFramePr>
              <a:graphicFrameLocks noChangeAspect="1"/>
            </wp:cNvGraphicFramePr>
            <a:graphic>
              <a:graphicData uri="http://schemas.openxmlformats.org/drawingml/2006/picture">
                <pic:pic>
                  <pic:nvPicPr>
                    <pic:cNvPr id="0" name="A 61338-2024 karta.png"/>
                    <pic:cNvPicPr/>
                  </pic:nvPicPr>
                  <pic:blipFill>
                    <a:blip r:embed="rId16"/>
                    <a:stretch>
                      <a:fillRect/>
                    </a:stretch>
                  </pic:blipFill>
                  <pic:spPr>
                    <a:xfrm>
                      <a:off x="0" y="0"/>
                      <a:ext cx="5486400" cy="4628561"/>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6786774, E 488508 i SWEREF 99 TM.</w:t>
      </w:r>
    </w:p>
    <w:p>
      <w:r>
        <w:t>I och inom 9 meter från avverkningsanmälan finns fynd av 15 naturvårdsarter, varav 12 är rödlistade, 4 är fridlysta, 13 är typiska (T) och 2 är signalarter (S): fläckporing (VU, T), garnlav (VU, T), knärot (VU, T, §8), dvärgbägarlav (NT, T), kortskaftad ärgspik (NT), rosenticka (NT, T), rynkskinn (NT, T), tallticka (NT, T), talltita (NT, §4), tretåig hackspett (NT, T, §4), ullticka (NT, T), vedskivlav (NT, T), bronshjon (S, T), mindre märgborre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0.62 ha med buffertzonerna och får av detta skäl inte avverkas.</w:t>
      </w:r>
    </w:p>
    <w:p>
      <w:pPr>
        <w:pStyle w:val="Caption"/>
      </w:pPr>
      <w:r>
        <w:drawing>
          <wp:inline xmlns:a="http://schemas.openxmlformats.org/drawingml/2006/main" xmlns:pic="http://schemas.openxmlformats.org/drawingml/2006/picture">
            <wp:extent cx="5486400" cy="4500356"/>
            <wp:docPr id="2" name="Picture 2"/>
            <wp:cNvGraphicFramePr>
              <a:graphicFrameLocks noChangeAspect="1"/>
            </wp:cNvGraphicFramePr>
            <a:graphic>
              <a:graphicData uri="http://schemas.openxmlformats.org/drawingml/2006/picture">
                <pic:pic>
                  <pic:nvPicPr>
                    <pic:cNvPr id="0" name="A 61338-2024 karta knärot.png"/>
                    <pic:cNvPicPr/>
                  </pic:nvPicPr>
                  <pic:blipFill>
                    <a:blip r:embed="rId17"/>
                    <a:stretch>
                      <a:fillRect/>
                    </a:stretch>
                  </pic:blipFill>
                  <pic:spPr>
                    <a:xfrm>
                      <a:off x="0" y="0"/>
                      <a:ext cx="5486400" cy="450035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6786774, E 488508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garnlav (VU, T), knärot (VU, T, §8), dvärgbägarlav (NT, T), rosenticka (NT, T), rynkskinn (NT, T), tallticka (NT, T), tretåig hackspett (NT, T, §4), ullticka (NT, T), vedskivlav (NT, T), bronshjon (S, T), mindre märgborre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