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27655-2019 i Orsa kommun</w:t>
      </w:r>
    </w:p>
    <w:p>
      <w:r>
        <w:t>Detta dokument behandlar höga naturvärden i avverkningsanmälan A 27655-2019 i Orsa kommun. Denna avverkningsanmälan inkom 2019-06-03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blå kärrhök (NT, §4), fjällvråk (NT, §4), kungsörn (NT, §4), stenfalk (NT, §4), sävsparv (NT, §4), grönsiska (§4) och sångsvan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27655-2019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6780693, E 501507 i SWEREF 99 TM.</w:t>
      </w:r>
    </w:p>
    <w:p>
      <w:pPr>
        <w:pStyle w:val="Heading1"/>
      </w:pPr>
      <w:r>
        <w:t>Fridlysta arter</w:t>
      </w:r>
    </w:p>
    <w:p>
      <w:r>
        <w:t>Följande fridlysta arter har sina livsmiljöer och växtplatser i den avverkningsanmälda skogen: blå kärrhök (NT, §4), fjällvråk (NT, §4), kungsörn (NT, §4), stenfalk (NT, §4), sävsparv (NT, §4), grönsiska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