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62749-2023 i Orsa kommun</w:t>
      </w:r>
    </w:p>
    <w:p>
      <w:r>
        <w:t>Detta dokument behandlar höga naturvärden i avverkningsanmälan A 62749-2023 i Orsa kommun. Denna avverkningsanmälan inkom 2023-12-11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grönfink (EN, §4), knärot (VU, §8), rynkskinn (VU), stare (VU, §4), tofsvipa (VU, §4), björktrast (NT, §4), buskskvätta (NT, §4), duvhök (NT, §4), garnlav (NT), gulsparv (NT, §4), orange taggsvamp (NT), rosenticka (NT), rödvingetrast (NT, §4), skedand (NT, §4), spillkråka (NT, §4), talltita (NT, §4), tretåig hackspett (NT, §4), ullticka (NT), utter (NT, §4a), violettgrå tagellav (NT), bollvitmossa (S), bronshjon (S), dropptaggsvamp (S), grönpyrola (S), korallrot (S, §8), mindre märgborre (S), tallfingersvamp (S), tvåblad (S, §8), vanlig groda (§6) och nattviol (§8).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2749-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6770800, E 478336 i SWEREF 99 TM.</w:t>
      </w:r>
    </w:p>
    <w:p>
      <w:pPr>
        <w:pStyle w:val="Heading1"/>
      </w:pPr>
      <w:r>
        <w:t>Fridlysta arter</w:t>
      </w:r>
    </w:p>
    <w:p>
      <w:r>
        <w:t>Följande fridlysta arter har sina livsmiljöer och växtplatser i den avverkningsanmälda skogen: grönfink (EN, §4), knärot (VU, §8), stare (VU, §4), tofsvipa (VU, §4), björktrast (NT, §4), buskskvätta (NT, §4), duvhök (NT, §4), gulsparv (NT, §4), rödvingetrast (NT, §4), skedand (NT, §4), spillkråka (NT, §4), talltita (NT, §4), tretåig hackspett (NT, §4), utter (NT, §4a), korallrot (S, §8), tvåblad (S, §8), vanlig groda (§6)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408 fyndplatser för knärot registrerade på Artportalen. Figur 2 visar gränserna för buffertzoner på 50 m, som behöver lämnas kring fyndplatserna för att knärotslokalerna inte ska försvinna vid en avverkning. Av det avverkningsanmälda området överlappar 17.45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2749-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6770800, E 478336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