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30284-2024 i Orsa kommun</w:t>
      </w:r>
    </w:p>
    <w:p>
      <w:r>
        <w:t>Denna tillsynsbegäran behandlar höga naturvärden i avverkningsanmälan A 30284-2024 i Orsa kommun som inkom 2024-07-17 och omfattar 2,5 ha.</w:t>
      </w:r>
    </w:p>
    <w:p>
      <w:pPr>
        <w:pStyle w:val="Caption"/>
      </w:pPr>
      <w:r>
        <w:drawing>
          <wp:inline xmlns:a="http://schemas.openxmlformats.org/drawingml/2006/main" xmlns:pic="http://schemas.openxmlformats.org/drawingml/2006/picture">
            <wp:extent cx="5486400" cy="3751868"/>
            <wp:docPr id="1" name="Picture 1"/>
            <wp:cNvGraphicFramePr>
              <a:graphicFrameLocks noChangeAspect="1"/>
            </wp:cNvGraphicFramePr>
            <a:graphic>
              <a:graphicData uri="http://schemas.openxmlformats.org/drawingml/2006/picture">
                <pic:pic>
                  <pic:nvPicPr>
                    <pic:cNvPr id="0" name="A 30284-2024 karta.png"/>
                    <pic:cNvPicPr/>
                  </pic:nvPicPr>
                  <pic:blipFill>
                    <a:blip r:embed="rId16"/>
                    <a:stretch>
                      <a:fillRect/>
                    </a:stretch>
                  </pic:blipFill>
                  <pic:spPr>
                    <a:xfrm>
                      <a:off x="0" y="0"/>
                      <a:ext cx="5486400" cy="375186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6781973, E 481789 i SWEREF 99 TM.</w:t>
      </w:r>
    </w:p>
    <w:p>
      <w:r>
        <w:t>I och inom 20 meter från avverkningsanmälan finns fynd av 16 naturvårdsarter, varav 14 är rödlistade, 1 är fridlyst, 7 är typiska (T) och 1 är signalart (S): garnlav (VU, T), lammticka (VU), rotfingersvamp (VU), skrovlig taggsvamp (VU), tallgråticka (VU), backstarr (NT), dropptaggsvamp (NT, T), grantaggsvamp (NT), mjölsvärting (NT), motaggsvamp (NT, T), orange taggsvamp (NT, T), tallfingersvamp (NT), talltaggsvamp (NT), vedskivlav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motaggsvamp (NT, T), orange taggsvamp (NT, T), vedskivlav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