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1383-2026 i Orsa kommun</w:t>
      </w:r>
    </w:p>
    <w:p>
      <w:r>
        <w:t>Detta klagomål behandlar höga naturvärden i samrådsanmälan S 1383-2026 i Orsa kommun som inkom 2026-05-11 och omfattar 3,1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S 1383-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6770752, E 478269 i SWEREF 99 TM.</w:t>
      </w:r>
    </w:p>
    <w:p>
      <w:r>
        <w:t>I och inom 25 meter från samrådsanmälan finns fynd av 14 naturvårdsarter, varav 6 är rödlistade, 8 är fridlysta, 9 är typiska (T) och 4 är signalarter (S): garnlav (VU, T), grönfink (VU, §4), knärot (VU, T, §8), rosenticka (NT, T), tretåig hackspett (NT, T, §4), violettgrå tagellav (NT, T), bronshjon (S, T), grönpyrola (S, T), korallrot (S, T, §8), mindre märgborre (S, T), salskrake (§4), utter (§4a), vanlig groda (§6)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162 fyndplatser för knärot registrerade på Artportalen. Figur 2 visar gränserna för buffertzoner på 50 m, som behöver lämnas kring fyndplatserna för att knärotslokalerna inte ska försvinna vid en avverkning. Av det samrådsanmälda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1383-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6770752, E 478269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