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22172-2025 i Orsa kommun</w:t>
      </w:r>
    </w:p>
    <w:p>
      <w:r>
        <w:t>Detta klagomål behandlar höga naturvärden i avverkningsanmälan A 22172-2025 i Orsa kommun som inkom 2025-05-08 och omfattar 3,8 ha.</w:t>
      </w:r>
    </w:p>
    <w:p>
      <w:pPr>
        <w:pStyle w:val="Caption"/>
      </w:pPr>
      <w:r>
        <w:drawing>
          <wp:inline xmlns:a="http://schemas.openxmlformats.org/drawingml/2006/main" xmlns:pic="http://schemas.openxmlformats.org/drawingml/2006/picture">
            <wp:extent cx="4352994" cy="5724000"/>
            <wp:docPr id="1" name="Picture 1"/>
            <wp:cNvGraphicFramePr>
              <a:graphicFrameLocks noChangeAspect="1"/>
            </wp:cNvGraphicFramePr>
            <a:graphic>
              <a:graphicData uri="http://schemas.openxmlformats.org/drawingml/2006/picture">
                <pic:pic>
                  <pic:nvPicPr>
                    <pic:cNvPr id="0" name="A 22172-2025 karta.png"/>
                    <pic:cNvPicPr/>
                  </pic:nvPicPr>
                  <pic:blipFill>
                    <a:blip r:embed="rId16"/>
                    <a:stretch>
                      <a:fillRect/>
                    </a:stretch>
                  </pic:blipFill>
                  <pic:spPr>
                    <a:xfrm>
                      <a:off x="0" y="0"/>
                      <a:ext cx="4352994" cy="5724000"/>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6773848, E 497241 i SWEREF 99 TM.</w:t>
      </w:r>
    </w:p>
    <w:p>
      <w:r>
        <w:t>I och inom 25 meter från avverkningsanmälan finns fynd av 6 naturvårdsarter, varav 4 är rödlistade, 4 är fridlysta och 4 är typiska (T): garnlav (VU, T), lavskrika (NT, T, §4), tallfingersvamp (NT), tretåig hackspett (NT, T, §4), spillkråka (T, §4)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 xml:space="preserve">Tallfingersvamp (NT) </w:t>
      </w:r>
      <w:r>
        <w:t>bildar mykorrhiza med tall och gran i äldre barrskog, framför allt sandtallskog men även i annan näringsfattig barrskog, huvudsakligen i äldre kontinuitetsskog. Den totala populationen i landet har minskat och bedöms fortsätta minska till följd av avverkning av barrskogar med trädkontinuitet. Minskningstakten för den svenska populationen bedöms vara nära gränsvärdet för Sårbar (VU). Slutavverkning, gödsling eller exploatering måste undvikas (SLU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2026-08-22</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