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1135-2023 i Orsa kommun</w:t>
      </w:r>
    </w:p>
    <w:p>
      <w:r>
        <w:t>Detta klagomål behandlar höga naturvärden i avverkningsanmälan A 1135-2023 i Orsa kommun som inkom 2023-01-09 och omfattar 3,1 ha.</w:t>
      </w:r>
    </w:p>
    <w:p>
      <w:pPr>
        <w:pStyle w:val="Caption"/>
      </w:pPr>
      <w:r>
        <w:drawing>
          <wp:inline xmlns:a="http://schemas.openxmlformats.org/drawingml/2006/main" xmlns:pic="http://schemas.openxmlformats.org/drawingml/2006/picture">
            <wp:extent cx="4942682" cy="5724000"/>
            <wp:docPr id="1" name="Picture 1"/>
            <wp:cNvGraphicFramePr>
              <a:graphicFrameLocks noChangeAspect="1"/>
            </wp:cNvGraphicFramePr>
            <a:graphic>
              <a:graphicData uri="http://schemas.openxmlformats.org/drawingml/2006/picture">
                <pic:pic>
                  <pic:nvPicPr>
                    <pic:cNvPr id="0" name="A 1135-2023 karta.png"/>
                    <pic:cNvPicPr/>
                  </pic:nvPicPr>
                  <pic:blipFill>
                    <a:blip r:embed="rId16"/>
                    <a:stretch>
                      <a:fillRect/>
                    </a:stretch>
                  </pic:blipFill>
                  <pic:spPr>
                    <a:xfrm>
                      <a:off x="0" y="0"/>
                      <a:ext cx="494268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6785473, E 492011 i SWEREF 99 TM.</w:t>
      </w:r>
    </w:p>
    <w:p>
      <w:r>
        <w:t>I och inom 25 meter från avverkningsanmälan finns fynd av 29 naturvårdsarter, varav 20 är rödlistade, 7 är fridlysta, 14 är typiska (T) och 6 är signalarter (S): bombmurkla (EN, §8), borsttagging (VU), garnlav (VU, T), gräddticka (VU), knärot (VU, T, §8), lammticka (VU), Ramaria neoformosa (VU), skrovlig taggsvamp (VU), smalfotad taggsvamp (VU), dropptaggsvamp (NT, T), grönhjon (NT), motaggsvamp (NT, T), orange taggsvamp (NT, T), svartvit taggsvamp (NT), tallfingersvamp (NT), tallriska (NT), tallticka (NT, T), tretåig hackspett (NT, T, §4), vaddporing (NT), vitfläckig guldvinge (NT), barkkornlav (S, T), bronshjon (S, T), gullgröppa (S), mindre märgborre (S, T), plattlummer (S, T, §9), vedticka (S, T), blåsippa (T, §9), spillkråka (T,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507139"/>
            <wp:docPr id="2" name="Picture 2"/>
            <wp:cNvGraphicFramePr>
              <a:graphicFrameLocks noChangeAspect="1"/>
            </wp:cNvGraphicFramePr>
            <a:graphic>
              <a:graphicData uri="http://schemas.openxmlformats.org/drawingml/2006/picture">
                <pic:pic>
                  <pic:nvPicPr>
                    <pic:cNvPr id="0" name="A 1135-2023 karta knärot.png"/>
                    <pic:cNvPicPr/>
                  </pic:nvPicPr>
                  <pic:blipFill>
                    <a:blip r:embed="rId17"/>
                    <a:stretch>
                      <a:fillRect/>
                    </a:stretch>
                  </pic:blipFill>
                  <pic:spPr>
                    <a:xfrm>
                      <a:off x="0" y="0"/>
                      <a:ext cx="5486400" cy="55071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6785473, E 492011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i/>
        </w:rPr>
        <w:t xml:space="preserve">Ramaria neoformosa </w:t>
      </w:r>
      <w:r>
        <w:rPr>
          <w:b/>
        </w:rPr>
        <w:t>(VU)</w:t>
      </w:r>
      <w:r>
        <w:t xml:space="preserve"> är en korallfingersvamp som bildar mykorrhiza med gran och tall, främst i näringsfattig och torr sandtallskog, men även i gran- och barrblandskog på mer näringsrik eller kalkhaltig mark. Arten har sin huvudsakliga utbredning i boreala sandtallskogar och är i Sverige känd från Dalarna och norrut till Lule lappmark. Den totala populationen i landet har minskat och bedöms fortsätta minska till följd av avverkning av äldre barrskog. Arten har begränsad förmåga att återetablera sig efter slutavverkning eller andra storskaliga skogsbruksåtgärder, och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