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6034-2026 i Orsa kommun</w:t>
      </w:r>
    </w:p>
    <w:p>
      <w:r>
        <w:t>Detta dokument behandlar höga naturvärden i avverkningsanmälan A 6034-2026 i Orsa kommun. Denna avverkningsanmälan inkom 2026-01-30 14:42:43 och omfattar 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kopparspindling (VU), spillkråka (NT, §4), tallticka (NT), tretåig hackspett (NT, §4), vedtrappmossa (NT), mindre märgborre (S), svavelriska (S), tibast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6034-2026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6783042, E 485510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672480"/>
            <wp:docPr id="2" name="Picture 2"/>
            <wp:cNvGraphicFramePr>
              <a:graphicFrameLocks noChangeAspect="1"/>
            </wp:cNvGraphicFramePr>
            <a:graphic>
              <a:graphicData uri="http://schemas.openxmlformats.org/drawingml/2006/picture">
                <pic:pic>
                  <pic:nvPicPr>
                    <pic:cNvPr id="0" name="A 6034-2026 karta knärot.png"/>
                    <pic:cNvPicPr/>
                  </pic:nvPicPr>
                  <pic:blipFill>
                    <a:blip r:embed="rId17"/>
                    <a:stretch>
                      <a:fillRect/>
                    </a:stretch>
                  </pic:blipFill>
                  <pic:spPr>
                    <a:xfrm>
                      <a:off x="0" y="0"/>
                      <a:ext cx="5486400" cy="66724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6783042, E 485510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