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33533-2025 i Orsa kommun</w:t>
      </w:r>
    </w:p>
    <w:p>
      <w:r>
        <w:t>Detta dokument behandlar höga naturvärden i avverkningsanmälan A 33533-2025 i Orsa kommun. Denna avverkningsanmälan inkom 2025-07-03 13:21:45 och omfattar 9,4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11 naturvårdsarter hittats: garnlav (NT), spillkråka (NT, §4), talltita (NT, §4), tretåig hackspett (NT, §4), ullticka (NT), vedflamlav (NT), violettgrå tagellav (NT), vitgrynig nållav (NT), bronshjon (S), kungsfågel (§4) och fläcknycklar (§8). Av dessa är 8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292937"/>
            <wp:docPr id="1" name="Picture 1"/>
            <wp:cNvGraphicFramePr>
              <a:graphicFrameLocks noChangeAspect="1"/>
            </wp:cNvGraphicFramePr>
            <a:graphic>
              <a:graphicData uri="http://schemas.openxmlformats.org/drawingml/2006/picture">
                <pic:pic>
                  <pic:nvPicPr>
                    <pic:cNvPr id="0" name="A 33533-2025 karta.png"/>
                    <pic:cNvPicPr/>
                  </pic:nvPicPr>
                  <pic:blipFill>
                    <a:blip r:embed="rId16"/>
                    <a:stretch>
                      <a:fillRect/>
                    </a:stretch>
                  </pic:blipFill>
                  <pic:spPr>
                    <a:xfrm>
                      <a:off x="0" y="0"/>
                      <a:ext cx="5486400" cy="529293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6820969, E 478171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r>
        <w:rPr>
          <w:b/>
        </w:rPr>
        <w:t>Vedflamlav (NT)</w:t>
      </w:r>
      <w:r>
        <w:t xml:space="preserve"> växer på gammal hård och torr, exponerad kärnved av tall, främst på högstubbar i ljusöppna lägen, t.ex. vid och på myrar, sjökanter, i glesa hällmarkskogar och i brandpräglade tallnaturskogar. Substratet nyskapas i begränsad omfattning och arten är en utmärkt indikator på höga naturvärden i denna skogstyp. Tall- och barrblandskogar med naturskogskaraktär och spår av bränder har ofta höga biologiska värden och bör skyddas (SLU Artdatabanken, 2024).</w:t>
      </w:r>
    </w:p>
    <w:p>
      <w:r>
        <w:rPr>
          <w:b/>
        </w:rPr>
        <w:t>Violettgrå tagellav (NT)</w:t>
      </w:r>
      <w:r>
        <w:t xml:space="preserve"> växer nästan uteslutande i gamla olikåldriga barrnaturskogar med lång skoglig kontinuitet och är en utmärkt signal på skog med höga naturvärden. Slutavverkning av tidigare aldrig slutavverkad skog (kontinuitetsskog) är det största hotet. Biotopen nyskapas i begränsad omfattning och barrskog äldre än 160 år, där den violettgrå tagellaven huvudsakligen påträffas har minskat med 50% de senaste 50 åren. Lågproduktiv skogsmark där laven förekommer bör undantas från skogsbruk och rika förekomster i äldre granskog bör skyddas. Arten är känslig för uttorkning och det är väsentligt att tillräckligt stora bestånd avsätts (SLU Artdatabanken, 2024; Nitare &amp; Skogsstyrelsen, 2019).</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pPr>
        <w:pStyle w:val="Heading1"/>
      </w:pPr>
      <w:r>
        <w:t>Fridlysta arter</w:t>
      </w:r>
    </w:p>
    <w:p>
      <w:r>
        <w:t>Följande fridlysta arter har sina livsmiljöer och växtplatser i den avverkningsanmälda skogen: spillkråka (NT, §4), talltita (NT, §4), tretåig hackspett (NT, §4), kungsfågel (§4) och fläcknycklar (§8).</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2025-12-20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