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39682-2025 i Orsa kommun</w:t>
      </w:r>
    </w:p>
    <w:p>
      <w:r>
        <w:t>Detta dokument behandlar höga naturvärden i avverkningsanmälan A 39682-2025 i Orsa kommun. Denna avverkningsanmälan inkom 2025-08-21 15:51:29 och omfattar 6,6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garnlav (NT), spillkråka (NT, §4), tretåig hackspett (NT, §4), vaddporing (NT), vedskivlav (NT), dropptaggsvamp (S), jättesvampmal (S) och mindre märgborre (S).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7615770"/>
            <wp:docPr id="1" name="Picture 1"/>
            <wp:cNvGraphicFramePr>
              <a:graphicFrameLocks noChangeAspect="1"/>
            </wp:cNvGraphicFramePr>
            <a:graphic>
              <a:graphicData uri="http://schemas.openxmlformats.org/drawingml/2006/picture">
                <pic:pic>
                  <pic:nvPicPr>
                    <pic:cNvPr id="0" name="A 39682-2025 karta.png"/>
                    <pic:cNvPicPr/>
                  </pic:nvPicPr>
                  <pic:blipFill>
                    <a:blip r:embed="rId16"/>
                    <a:stretch>
                      <a:fillRect/>
                    </a:stretch>
                  </pic:blipFill>
                  <pic:spPr>
                    <a:xfrm>
                      <a:off x="0" y="0"/>
                      <a:ext cx="5486400" cy="761577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6779993, E 496289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Mindre märgborre</w:t>
      </w:r>
      <w:r>
        <w:t xml:space="preserve"> är en signalart för tallskog med höga naturvärden och betraktas tillsammans med skarptandad barkborre (NT) som nyckelarter för ett antal sällsynta åtgärdsprogramsarter som är beroende av deras gångsystem. Bland dessa kan nämnas avlång barkborre (VU), </w:t>
      </w:r>
      <w:r>
        <w:rPr>
          <w:i/>
        </w:rPr>
        <w:t>Corticeus longulus</w:t>
      </w:r>
      <w:r>
        <w:t xml:space="preserve"> (VU), tallbarksvartbagge (VU), tallgångbagge (VU) och cholodkovskys bastborre (NT). Den mindre märgborrens måsvingeliknande gnaggångar är lätta att känna igen och hittas ofta på grova tallgrenar på marken. 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Tallskogar med stark förekomst av mindre märgborre och skarptandad barkborre bör avsättas som reservat. Generellt bör hänsyn tas vid slutavverkning av talldominerad skog så att avverkningsrester som gren- och toppdelar lämnas (Pettersson, 2014; Hedgren, 2012; Gunnarsson m fl., 1999).</w:t>
      </w:r>
    </w:p>
    <w:p>
      <w:r>
        <w:rPr>
          <w:b/>
        </w:rPr>
        <w:t xml:space="preserve">Vaddporing (NT) </w:t>
      </w:r>
      <w:r>
        <w:t>är en brunrötande vednedbrytare som hittas på undersidan av liggande murken tallved i olika former. Substratet utgörs framför allt av den typ av hård, kådimpregnerad och ofta kolad tallved som skapas i brandpräglad skog. Vedtypen nybildas i mycket liten omfattning och det är sannolikt att arten upplever en utdöendeskuld. För att garantera artens fortlevnad bör man både säkra att artens växtplatser hålls intakta samt att långsiktigt säkerställa att ny ved tillkommer, allra helst i omedelbar anslutning till artens växtplatser. Skoglig gallring och annat uttag av virke innebär ett hot mot arten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p>
      <w:pPr>
        <w:pStyle w:val="Heading1"/>
      </w:pPr>
      <w:r>
        <w:t>Fridlysta arter</w:t>
      </w:r>
    </w:p>
    <w:p>
      <w:r>
        <w:t>Följande fridlysta arter har sina livsmiljöer och växtplatser i den avverkningsanmälda skogen: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Mindre märgborre – ekologi samt krav på livsmiljön</w:t>
      </w:r>
    </w:p>
    <w:p>
      <w:r>
        <w:t xml:space="preserve">Mindre märgborre är en signalart för tallskog med höga naturvärden och kan lätt konstateras genom sina karaktäristiska måsvingeliknande gnagspår som ofta hittas på grova tallgrenar på marken. Mindre märgborre betraktas tillsammans med skarptandad barkborre (NT) som nyckelarter, eftersom en rad sällsynta efterföljande arter är beroende av deras gångsystem. Bland dessa kan nämnas åtgärdsprogramsarterna avlång barkborre (VU), </w:t>
      </w:r>
      <w:r>
        <w:rPr>
          <w:i/>
        </w:rPr>
        <w:t>Corticeus longulus</w:t>
      </w:r>
      <w:r>
        <w:t xml:space="preserve"> (VU), tallbarksvartbagge (VU), tallgångbagge (VU) och cholodkovskys bastborre (NT) (Pettersson, 2014; Gunnarsson m fl., 1999).</w:t>
      </w:r>
    </w:p>
    <w:p>
      <w:r>
        <w:t>Tallskogar tillhör de livsmiljöer som förändrats i stor skala, där många kvadratmil har omvandlats till unga produktionsskogar. I sådana skogar saknas förutsättningar för de ovannämnda sällsynta barkborrarna och alltmer kunskap tyder på att skogsbrukets omvandling av skogslandskapet, missgynnar åtgärdsprogrammets arter även inne i skyddade områden (Hedgren, 2012; Hedgren m.fl., 2010; Wikars m.fl., 2010; Wikars, 2009). Orsaken är sannolikt att dagens intensiva skogsbruk trivialiserar faunan på nydöda träd. Detta sker genom att generalister förökas upp i sådan grad i den brukade skogen att dessa även kommer att dominera i de för hållandevis små och fragmenterade områden som avsätts för naturvård (Appelqvist, 2005; Janzen, 1983; Ås, 1999).</w:t>
      </w:r>
    </w:p>
    <w:p>
      <w:r>
        <w:t>Ett tydligt exempel på en generalist som gynnas av dagens skogsbruk är större märgborre på nydöd tall. Denna utvecklas förutom i vindfällen gärna i avverkningsavfall, inklusive avverkningsstubbar och röjningsstammar. Därmed har den större märgborren möjlighet att upprätthålla stora och stabila populationer på huvuddelen av landets skogsmark, vilket leder till en trivialisering av faunan. Större märgborre inverkar sannolikt direkt negativt på arter som tolvtandad barkborre (EN) och avlång barkborre (VU), och indirekt på de som är gynnade av blånadssvampar, dvs. följearter till framförallt mindre märgborre och skarptandad barkborre (NT). De barkborrar som missgynnas av större märgborre är i mycket högre grad gynnade av tallar som dör genom självgallring, dvs. i normalfallet skog som inte används till skogsproduktion (Pettersson, 2014; Wikars, skriftl.).</w:t>
      </w:r>
    </w:p>
    <w:p>
      <w:r>
        <w:t>Rika förekomster av främst mindre märgborre men även skarptandad barkborre (NT) är en signal för artrikedom och inventeringar har visat att det är i skogar med en naturlig självgallring som det skapas förutsättningar för dessa arter samt de efterföljande åtgärdsprogramsarterna (Pettersson, 2014; Hedgren, 2012). Tallskogar med stark förekomst av mindre märgborre och skarptandad barkborre bör avsättas som reservat. Generellt bör hänsyn tas vid slutavverkning av talldominerad skog så att avverkningsrester som gren- och toppdelar (s.k. GROT) lämnas (Pettersson, 2014).</w:t>
      </w:r>
    </w:p>
    <w:p>
      <w:pPr>
        <w:pStyle w:val="Heading2"/>
      </w:pPr>
      <w:r>
        <w:t>Referenser – mindre märgborre</w:t>
      </w:r>
    </w:p>
    <w:p>
      <w:r>
        <w:t xml:space="preserve">Appelqvist, T., 2005. </w:t>
      </w:r>
      <w:r>
        <w:rPr>
          <w:i/>
        </w:rPr>
        <w:t>Naturvårdsbiologisk forskning. Underlag för områdesskydd i landskapet.</w:t>
      </w:r>
      <w:r>
        <w:t xml:space="preserve"> Naturvårdsverket, Rapport 5452.</w:t>
      </w:r>
    </w:p>
    <w:p>
      <w:r>
        <w:t xml:space="preserve">Gunnarsson, B., Pettersson, R. B., Hake, M. och Hultengren, S. &amp; Sjöberg, K., 1999. </w:t>
      </w:r>
      <w:r>
        <w:rPr>
          <w:i/>
        </w:rPr>
        <w:t xml:space="preserve">Spindlar och skalbaggar som indikatorer i barrskog. </w:t>
      </w:r>
      <w:r>
        <w:t>Skog &amp; Forskning, Nr. 2/99, s. 46–51.</w:t>
      </w:r>
    </w:p>
    <w:p>
      <w:r>
        <w:t xml:space="preserve">Hedgren, O., 2012. </w:t>
      </w:r>
      <w:r>
        <w:rPr>
          <w:i/>
        </w:rPr>
        <w:t>Hotade insekter på tallved i Dalarna.</w:t>
      </w:r>
      <w:r>
        <w:t xml:space="preserve"> Länsstyrelsen Dalarna, Naturvårdsenheten. Rapport 2012:16.</w:t>
      </w:r>
    </w:p>
    <w:p>
      <w:r>
        <w:t xml:space="preserve">Hedgren, O. 2010. </w:t>
      </w:r>
      <w:r>
        <w:rPr>
          <w:i/>
        </w:rPr>
        <w:t>Vedinsekter i tallskog och på brandfält i Värmland.</w:t>
      </w:r>
      <w:r>
        <w:t xml:space="preserve"> Länsstyrelsen Värmland, Stencil, 39 s.</w:t>
      </w:r>
    </w:p>
    <w:p>
      <w:r>
        <w:t xml:space="preserve">Janzen, D. H., 1983. </w:t>
      </w:r>
      <w:r>
        <w:rPr>
          <w:i/>
        </w:rPr>
        <w:t>No park is an island: Increase in interference from outside as park size decreases</w:t>
      </w:r>
      <w:r>
        <w:t>. Oikos 41: 402–410.</w:t>
      </w:r>
    </w:p>
    <w:p>
      <w:r>
        <w:t xml:space="preserve">Jonsell, M., Weslien, J. &amp; Ehn ström, B., 1998. </w:t>
      </w:r>
      <w:r>
        <w:rPr>
          <w:i/>
        </w:rPr>
        <w:t>Substrate requirements of red-listed saproxylic invertebrates in Sweden</w:t>
      </w:r>
      <w:r>
        <w:t>. Biodiversity and Conserv. 7: 749–764.</w:t>
      </w:r>
    </w:p>
    <w:p>
      <w:r>
        <w:t xml:space="preserve">Pettersson, R. B., 2014). </w:t>
      </w:r>
      <w:r>
        <w:rPr>
          <w:i/>
        </w:rPr>
        <w:t>Åtgärdsprogram för skalbaggar på nyligen död tall, 2014–2018.</w:t>
      </w:r>
      <w:r>
        <w:t xml:space="preserve"> Rapport 6599. Bromma: Naturvårdsverket.</w:t>
      </w:r>
    </w:p>
    <w:p>
      <w:r>
        <w:t xml:space="preserve">Wikars, L.-O., Hansson, J. &amp; Hedgren, O., 2010. </w:t>
      </w:r>
      <w:r>
        <w:rPr>
          <w:i/>
        </w:rPr>
        <w:t>Inventering av vedlevande skalbaggar – tallskogar i Örebro län.</w:t>
      </w:r>
      <w:r>
        <w:t xml:space="preserve"> Länsstyrelsen i Örebro län, publ.nr. 2010:2.</w:t>
      </w:r>
    </w:p>
    <w:p>
      <w:r>
        <w:t xml:space="preserve">Wikars, L.-O., 2009. </w:t>
      </w:r>
      <w:r>
        <w:rPr>
          <w:i/>
        </w:rPr>
        <w:t>Vedskalbaggar i Hamra nationalpark, Gävleborgs län.</w:t>
      </w:r>
      <w:r>
        <w:t xml:space="preserve"> Länsstyrelsen Gävleborg, Rapport 2009:14.</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