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62749-2023 i Orsa kommun</w:t>
      </w:r>
    </w:p>
    <w:p>
      <w:r>
        <w:t>Detta dokument behandlar höga naturvärden i avverkningsanmälan A 62749-2023 i Orsa kommun. Denna avverkningsanmälan inkom 2023-12-11 00:00:00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grönfink (EN, §4), knärot (VU, §8), rynkskinn (VU), stare (VU, §4), tofsvipa (VU, §4), björktrast (NT, §4), buskskvätta (NT, §4), duvhök (NT, §4), garnlav (NT), gulsparv (NT, §4), orange taggsvamp (NT), rosenticka (NT), rödvingetrast (NT, §4), skedand (NT, §4), spillkråka (NT, §4), talltita (NT, §4), tretåig hackspett (NT, §4), ullticka (NT), utter (NT, §4a), violettgrå tagellav (NT), bollvitmossa (S), bronshjon (S), dropptaggsvamp (S), grönpyrola (S), korallrot (S, §8), mindre märgborre (S), tallfingersvamp (S), tvåblad (S, §8), vanlig groda (§6) och nattviol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2749-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6770800, E 478336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grönfink (EN, §4), knärot (VU, §8), stare (VU, §4), tofsvipa (VU, §4), björktrast (NT, §4), buskskvätta (NT, §4), duvhök (NT, §4), gulsparv (NT, §4), rödvingetrast (NT, §4), skedand (NT, §4), spillkråka (NT, §4), talltita (NT, §4), tretåig hackspett (NT, §4), utter (NT, §4a), korallrot (S, §8), tvåblad (S, §8), vanlig groda (§6)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408 fyndplatser för knärot registrerade på Artportalen. Figur 2 visar gränserna för buffertzoner på 50 m, som behöver lämnas kring fyndplatserna för att knärotslokalerna inte ska försvinna vid en avverkning. Av det avverkningsanmälda området överlappar 17.45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2749-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6770800, E 478336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