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51902-2023 i Orsa kommun</w:t>
      </w:r>
    </w:p>
    <w:p>
      <w:r>
        <w:t>Detta dokument behandlar höga naturvärden i avverkningsanmälan A 51902-2023 i Orsa kommun. Denna avverkningsanmälan inkom 2023-10-24 00:00:00 och omfattar 10,2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23 naturvårdsarter hittats: gräddporing (VU), knärot (VU, §8), dvärgbägarlav (NT), garnlav (NT), Leptoporus mollis (NT), lunglav (NT), mörk kolflarnlav (NT), orange taggsvamp (NT), skrovellav (NT), svart taggsvamp (NT), tallriska (NT), talltita (NT, §4), violettgrå tagellav (NT), vitgrynig nållav (NT), dropptaggsvamp (S), källpraktmossa (S), luddlav (S), plattlummer (S, §9), spindelblomster (S, §8), stuplav (S), svavelriska (S), tallfingersvamp (S)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32009"/>
            <wp:docPr id="1" name="Picture 1"/>
            <wp:cNvGraphicFramePr>
              <a:graphicFrameLocks noChangeAspect="1"/>
            </wp:cNvGraphicFramePr>
            <a:graphic>
              <a:graphicData uri="http://schemas.openxmlformats.org/drawingml/2006/picture">
                <pic:pic>
                  <pic:nvPicPr>
                    <pic:cNvPr id="0" name="A 51902-2023 karta.png"/>
                    <pic:cNvPicPr/>
                  </pic:nvPicPr>
                  <pic:blipFill>
                    <a:blip r:embed="rId16"/>
                    <a:stretch>
                      <a:fillRect/>
                    </a:stretch>
                  </pic:blipFill>
                  <pic:spPr>
                    <a:xfrm>
                      <a:off x="0" y="0"/>
                      <a:ext cx="5486400" cy="433200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6817156, E 486039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Tallriska (NT)</w:t>
      </w:r>
      <w:r>
        <w:t xml:space="preserve"> bildar mykorrhiza med tall och växer i äldre, mager och torr tallskog med lång trädkontinuitet, såsom tallhedar och sandtallskogar. Arten hotas huvudsakligen av avverkning av äldre tallskogar och på kända lokaler bör slutavverkning, markberedning och gödsling undvikas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plattlummer (S, §9), spindelblomster (S,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24 fyndplatser för knärot registrerade på Artportalen. Figur 2 visar gränserna för buffertzoner på 50 m, som behöver lämnas kring fyndplatserna för att knärotslokalerna inte ska försvinna vid en avverkning. Av det avverkningsanmälda området överlappar 5.45 ha med buffertzonerna och får av detta skäl inte avverkas.</w:t>
      </w:r>
    </w:p>
    <w:p>
      <w:pPr>
        <w:pStyle w:val="Caption"/>
      </w:pPr>
      <w:r>
        <w:drawing>
          <wp:inline xmlns:a="http://schemas.openxmlformats.org/drawingml/2006/main" xmlns:pic="http://schemas.openxmlformats.org/drawingml/2006/picture">
            <wp:extent cx="5486400" cy="5195848"/>
            <wp:docPr id="2" name="Picture 2"/>
            <wp:cNvGraphicFramePr>
              <a:graphicFrameLocks noChangeAspect="1"/>
            </wp:cNvGraphicFramePr>
            <a:graphic>
              <a:graphicData uri="http://schemas.openxmlformats.org/drawingml/2006/picture">
                <pic:pic>
                  <pic:nvPicPr>
                    <pic:cNvPr id="0" name="A 51902-2023 karta knärot.png"/>
                    <pic:cNvPicPr/>
                  </pic:nvPicPr>
                  <pic:blipFill>
                    <a:blip r:embed="rId17"/>
                    <a:stretch>
                      <a:fillRect/>
                    </a:stretch>
                  </pic:blipFill>
                  <pic:spPr>
                    <a:xfrm>
                      <a:off x="0" y="0"/>
                      <a:ext cx="5486400" cy="519584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6817156, E 486039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