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52487-2024 i Orsa kommun</w:t>
      </w:r>
    </w:p>
    <w:p>
      <w:r>
        <w:t>Detta dokument behandlar höga naturvärden i avverkningsanmälan A 52487-2024 i Orsa kommun. Denna avverkningsanmälan inkom 2024-11-13 00:00:00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17 naturvårdsarter hittats: goliatmusseron (VU), spadskinn (VU), torrmusseron (VU), blå taggsvamp (NT), dvärgbägarlav (NT), garnlav (NT), mjölsvärting (NT), motaggsvamp (NT), orange taggsvamp (NT), skrovlig taggsvamp (NT), svart taggsvamp (NT), talltita (NT, §4), vedskivlav (NT), dropptaggsvamp (S), mindre märgborre (S), rökmusseron (S) och tallfingersvamp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4564"/>
            <wp:docPr id="1" name="Picture 1"/>
            <wp:cNvGraphicFramePr>
              <a:graphicFrameLocks noChangeAspect="1"/>
            </wp:cNvGraphicFramePr>
            <a:graphic>
              <a:graphicData uri="http://schemas.openxmlformats.org/drawingml/2006/picture">
                <pic:pic>
                  <pic:nvPicPr>
                    <pic:cNvPr id="0" name="A 52487-2024 karta.png"/>
                    <pic:cNvPicPr/>
                  </pic:nvPicPr>
                  <pic:blipFill>
                    <a:blip r:embed="rId16"/>
                    <a:stretch>
                      <a:fillRect/>
                    </a:stretch>
                  </pic:blipFill>
                  <pic:spPr>
                    <a:xfrm>
                      <a:off x="0" y="0"/>
                      <a:ext cx="5486400" cy="3844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6784623, E 481173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Mjölsvärting (NT)</w:t>
      </w:r>
      <w:r>
        <w:t xml:space="preserve"> växer i luckig barrskog, huvudsakligen på tallhed och i äldre skog. Mager, äldre tallskog och barrblandskog med lång trädkontinuitet bör undantas från trakthyggesbruk. Mjölsvärtingens lokaler är ofta nyckelbiotoper och bör då sparas i sin helhet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