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24 naturvårdsarter, varav 20 är rödlistade, 5 är fridlysta, 13 är typiska (T) och 2 är signalarter (S): garnlav (VU, T), gräddporing (VU, T), gränsticka (VU, T), smalfotad taggsvamp (VU), blanksvart spiklav (NT), blå taggsvamp (NT, T), blågrå svartspik (NT), dropptaggsvamp (NT, T), grönhjon (NT), kolflarnlav (NT, T), kortskaftad ärgspik (NT),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