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47905-2023 i Orsa kommun</w:t>
      </w:r>
    </w:p>
    <w:p>
      <w:r>
        <w:t>Denna tillsynsbegäran behandlar höga naturvärden i avverkningsanmälan A 47905-2023 i Orsa kommun som inkom 2023-10-05 och omfattar 9,3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47905-2023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6822695, E 464909 i SWEREF 99 TM.</w:t>
      </w:r>
    </w:p>
    <w:p>
      <w:r>
        <w:t>I och inom 25 meter från avverkningsanmälan finns fynd av 20 naturvårdsarter, varav 13 är rödlistade, 2 är fridlysta, 14 är typiska (T) och 6 är signalarter (S): urskogsporing (EN), garnlav (VU, T), blanksvart spiklav (NT), dropptaggsvamp (NT, T), dvärgbägarlav (NT, T), kolflarnlav (NT, T), lavskrika (NT, T, §4), lunglav (NT, T), mörk kolflarnlav (NT), skarp dropptaggsvamp (NT), vedflamlav (NT), vedskivlav (NT, T), violettgrå tagellav (NT, T), flagellkvastmossa (S, T), norrlandslav (S, T), nästlav (S, T), skinnlav (S, T), stuplav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lavskrika (NT, T, §4), lunglav (NT, T), vedskivlav (NT, T), violettgrå tagellav (NT, T), flagellkvastmossa (S, T), norrlandslav (S, T), nästlav (S, T), skinnlav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