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51070-2025 i Orsa kommun</w:t>
      </w:r>
    </w:p>
    <w:p>
      <w:r>
        <w:t>Denna tillsynsbegäran behandlar höga naturvärden i avverkningsanmälan A 51070-2025 i Orsa kommun som inkom 2025-10-17 och omfattar 2,8 ha.</w:t>
      </w:r>
    </w:p>
    <w:p>
      <w:pPr>
        <w:pStyle w:val="Caption"/>
      </w:pPr>
      <w:r>
        <w:drawing>
          <wp:inline xmlns:a="http://schemas.openxmlformats.org/drawingml/2006/main" xmlns:pic="http://schemas.openxmlformats.org/drawingml/2006/picture">
            <wp:extent cx="5486400" cy="3778263"/>
            <wp:docPr id="1" name="Picture 1"/>
            <wp:cNvGraphicFramePr>
              <a:graphicFrameLocks noChangeAspect="1"/>
            </wp:cNvGraphicFramePr>
            <a:graphic>
              <a:graphicData uri="http://schemas.openxmlformats.org/drawingml/2006/picture">
                <pic:pic>
                  <pic:nvPicPr>
                    <pic:cNvPr id="0" name="A 51070-2025 karta.png"/>
                    <pic:cNvPicPr/>
                  </pic:nvPicPr>
                  <pic:blipFill>
                    <a:blip r:embed="rId16"/>
                    <a:stretch>
                      <a:fillRect/>
                    </a:stretch>
                  </pic:blipFill>
                  <pic:spPr>
                    <a:xfrm>
                      <a:off x="0" y="0"/>
                      <a:ext cx="5486400" cy="3778263"/>
                    </a:xfrm>
                    <a:prstGeom prst="rect"/>
                  </pic:spPr>
                </pic:pic>
              </a:graphicData>
            </a:graphic>
          </wp:inline>
        </w:drawing>
      </w:r>
    </w:p>
    <w:p>
      <w:pPr>
        <w:pStyle w:val="Caption"/>
        <w:spacing w:after="240"/>
      </w:pPr>
      <w:r>
        <w:t>Figur 1. Fyndplatser för naturvårdsarter i och inom 25 meter från avverkningsanmälan. Markörer utan svart kant är placerade på fyndplatsen. Markörer med svart kant är placerade vid sidan av fyndplatsen och har ett svart streck som visar fyndplatsens exakta position. Kartans mittpunktskoordinat är N 6801505, E 473065 i SWEREF 99 TM.</w:t>
      </w:r>
    </w:p>
    <w:p>
      <w:r>
        <w:t>I och inom 25 meter från avverkningsanmälan finns fynd av 4 naturvårdsarter, varav 3 är rödlistade, 2 är fridlysta och 4 är typiska (T): garnlav (VU, T), lunglav (NT, T), tretåig hackspett (NT, T, §4) och tjäder (T, §4).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Lunglav (NT)</w:t>
      </w:r>
      <w:r>
        <w:t xml:space="preserve"> är en av vårt lands främsta signalarter som överallt indikerar gamla lövträd, skogsbestånd med höga naturvärden och ekosystem med långskoglig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På lunglav kan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påträffas. 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 Nitare &amp; Skogsstyrelsen, 2019).</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Tretåig hackspett är typisk art för </w:t>
      </w:r>
      <w:r>
        <w:rPr>
          <w:i/>
        </w:rPr>
        <w:t xml:space="preserve">9010 Taiga, 9740 Skogsbevuxen myr, 9030 Landhöjningsskog </w:t>
      </w:r>
      <w:r>
        <w:t xml:space="preserve">och </w:t>
      </w:r>
      <w:r>
        <w:rPr>
          <w:i/>
        </w:rPr>
        <w:t>9040 Fjällbjörkskog</w:t>
      </w:r>
      <w:r>
        <w:t xml:space="preserve"> (Skogsstyrelsen, 2016; SLU Artdatabanken, 2024).</w:t>
      </w:r>
    </w:p>
    <w:p>
      <w:r>
        <w:rPr>
          <w:b/>
        </w:rPr>
        <w:t>Tjäder (§4)</w:t>
      </w:r>
      <w:r>
        <w:t xml:space="preserve">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 SLU Artdatabanken, 2024).</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br w:type="page"/>
      </w:r>
    </w:p>
    <w:p>
      <w:pPr>
        <w:pStyle w:val="Title"/>
      </w:pPr>
      <w:r>
        <w:t>BILAGA 1 –</w:t>
        <w:br/>
        <w:t>Fridlysta och rödlistade arter</w:t>
      </w:r>
    </w:p>
    <w:p>
      <w:pPr>
        <w:pStyle w:val="Heading1"/>
      </w:pPr>
      <w:r>
        <w:t>Lunglav – ekologi samt krav på livsmiljön</w:t>
      </w:r>
    </w:p>
    <w:p>
      <w:r>
        <w:t xml:space="preserve">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däribland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som växer på lunglav. Rikliga förekomster med lunglav bör skyddas med biotopskydd, frivilliga avsättningar eller reservat (SLU Artdatabanken, 2026; Nitare &amp; Skogsstyrelsen, 2019).</w:t>
      </w:r>
    </w:p>
    <w:p>
      <w:r>
        <w:t xml:space="preserve">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2026. </w:t>
      </w:r>
      <w:r>
        <w:rPr>
          <w:i/>
        </w:rPr>
        <w:t xml:space="preserve">Artfaktablad. Naturvård – artfakta. </w:t>
      </w:r>
      <w:r>
        <w:t>SLU Artdatabanken, Uppsala.</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r>
        <w:t xml:space="preserve"> (SLU Artdatabanken, 2024; Skogsstyrelsen, 2016)</w:t>
      </w:r>
      <w:r>
        <w:rPr>
          <w:i/>
        </w:rPr>
        <w: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(SLU Artdatabanken, 2024; Skogsstyrelsen, 2016).</w:t>
      </w:r>
    </w:p>
    <w:p>
      <w:r>
        <w:t xml:space="preserve">Förutom fridlysning enligt §4 Artskyddsförordningen är tretåig hackspett även förtecknad i EU:s fågeldirektiv bilaga 1. Den är typisk art för </w:t>
      </w:r>
      <w:r>
        <w:rPr>
          <w:i/>
        </w:rPr>
        <w:t xml:space="preserve">9010 Taiga, 9740 Skogsbevuxen myr, 9030 Landhöjningsskog </w:t>
      </w:r>
      <w:r>
        <w:t xml:space="preserve">och </w:t>
      </w:r>
      <w:r>
        <w:rPr>
          <w:i/>
        </w:rPr>
        <w:t>9040 Fjällbjörkskog</w:t>
      </w:r>
      <w:r>
        <w:t xml:space="preserve"> samt ingår i Natura 2000 och är förtecknad i Bernkonventionen bilaga II (strikt skyddade djurarter) (SLU Artdatabanken, 2024; Skogsstyrelsen, 2016).</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Vägledning för hänsyn till fåglar – Tretåig hackspett.</w:t>
      </w:r>
    </w:p>
    <w:p>
      <w:r>
        <w:t xml:space="preserve">SLU Artdatabanken, 2024. </w:t>
      </w:r>
      <w:r>
        <w:rPr>
          <w:i/>
        </w:rPr>
        <w:t xml:space="preserve">Artfaktablad. Naturvård – artfakta. </w:t>
      </w:r>
      <w:r>
        <w:t>SLU Artdatabanken, Uppsala.</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p>
      <w:pPr>
        <w:pStyle w:val="Heading1"/>
      </w:pPr>
      <w:r>
        <w:t>Tjäder – ekologi samt krav på livsmiljön</w:t>
      </w:r>
    </w:p>
    <w:p>
      <w:r>
        <w:t xml:space="preserve">Tjäder (§4)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(Skogsstyrelsen, 2019; SLU Artdatabanken 2024).</w:t>
      </w:r>
    </w:p>
    <w:p>
      <w:r>
        <w:t>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w:t>
      </w:r>
    </w:p>
    <w:p>
      <w:pPr>
        <w:pStyle w:val="Heading2"/>
      </w:pPr>
      <w:r>
        <w:t>Referenser – tjäder</w:t>
      </w:r>
    </w:p>
    <w:p>
      <w:r>
        <w:t xml:space="preserve">Skogsstyrelsen, 2019. </w:t>
      </w:r>
      <w:r>
        <w:rPr>
          <w:i/>
        </w:rPr>
        <w:t>Vägledning för hänsyn till fåglar – tjäder.</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2026-10-25</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