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62749-2023 i Orsa kommun</w:t>
      </w:r>
    </w:p>
    <w:p>
      <w:r>
        <w:t>Detta klagomål behandlar höga naturvärden i avverkningsanmälan A 62749-2023 i Orsa kommun som inkom 2023-12-11 och omfattar 20,7 ha.</w:t>
      </w:r>
    </w:p>
    <w:p>
      <w:pPr>
        <w:pStyle w:val="Caption"/>
      </w:pPr>
      <w:r>
        <w:drawing>
          <wp:inline xmlns:a="http://schemas.openxmlformats.org/drawingml/2006/main" xmlns:pic="http://schemas.openxmlformats.org/drawingml/2006/picture">
            <wp:extent cx="3867747" cy="5724000"/>
            <wp:docPr id="1" name="Picture 1"/>
            <wp:cNvGraphicFramePr>
              <a:graphicFrameLocks noChangeAspect="1"/>
            </wp:cNvGraphicFramePr>
            <a:graphic>
              <a:graphicData uri="http://schemas.openxmlformats.org/drawingml/2006/picture">
                <pic:pic>
                  <pic:nvPicPr>
                    <pic:cNvPr id="0" name="A 62749-2023 karta.png"/>
                    <pic:cNvPicPr/>
                  </pic:nvPicPr>
                  <pic:blipFill>
                    <a:blip r:embed="rId16"/>
                    <a:stretch>
                      <a:fillRect/>
                    </a:stretch>
                  </pic:blipFill>
                  <pic:spPr>
                    <a:xfrm>
                      <a:off x="0" y="0"/>
                      <a:ext cx="386774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6770800, E 478336 i SWEREF 99 TM.</w:t>
      </w:r>
    </w:p>
    <w:p>
      <w:r>
        <w:t>I och inom 25 meter från avverkningsanmälan finns fynd av 39 naturvårdsarter, varav 23 är rödlistade, 25 är fridlysta, 15 är typiska (T) och 6 är signalarter (S): storspov (EN, §4), garnlav (VU, T), grönfink (VU, §4), knärot (VU, T, §8), silverblåvinge (VU), stare (VU, §4), tofsvipa (VU, §4), björktrast (NT, §4), brunklöver (NT), dropptaggsvamp (NT, T), duvhök (NT, §4), gulsparv (NT, §4), ladusvala (NT, §4), orange taggsvamp (NT, T), rosenticka (NT, T), rynkskinn (NT, T), rödvingetrast (NT, §4), sädesärla (NT, §4), tallfingersvamp (NT), talltita (NT, §4), tretåig hackspett (NT, T, §4), ullticka (NT, T), violettgrå tagellav (NT, T), bollvitmossa (S, T), bronshjon (S, T), grönpyrola (S, T), korallrot (S, T, §8), mindre märgborre (S, T), tvåblad (S, §8), spillkråka (T, §4), buskskvätta (§4), ljungpipare (§4), salskrake (§4), sångsvan (§4), trana (§4), utter (§4a), ärtsångare (§4), vanlig groda (§6)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413 fyndplatser för knärot registrerade på Artportalen. Figur 2 visar gränserna för buffertzoner på 50 m, som behöver lämnas kring fyndplatserna för att knärotslokalerna inte ska försvinna vid en avverkning. Av det avverkningsanmälda området överlappar 17.45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62749-2023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6770800, E 478336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39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