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38047-2025 i Orsa kommun</w:t>
      </w:r>
    </w:p>
    <w:p>
      <w:r>
        <w:t>Detta dokument behandlar höga naturvärden i avverkningsanmälan A 38047-2025 i Orsa kommun. Denna avverkningsanmälan inkom 2025-08-13 00:00:00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14 naturvårdsarter hittats: björktrast (NT, §4), garnlav (NT), mörk kolflarnlav (NT), spillkråka (NT, §4), talltita (NT, §4), tretåig hackspett (NT, §4), vedflamlav (NT), violettgrå tagellav (NT), bronshjon (S), dropptaggsvamp (S), mindre märgborre (S), vedticka (S), bivråk (§4) och tjäder (§4).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3729"/>
            <wp:docPr id="1" name="Picture 1"/>
            <wp:cNvGraphicFramePr>
              <a:graphicFrameLocks noChangeAspect="1"/>
            </wp:cNvGraphicFramePr>
            <a:graphic>
              <a:graphicData uri="http://schemas.openxmlformats.org/drawingml/2006/picture">
                <pic:pic>
                  <pic:nvPicPr>
                    <pic:cNvPr id="0" name="A 38047-2025 karta.png"/>
                    <pic:cNvPicPr/>
                  </pic:nvPicPr>
                  <pic:blipFill>
                    <a:blip r:embed="rId16"/>
                    <a:stretch>
                      <a:fillRect/>
                    </a:stretch>
                  </pic:blipFill>
                  <pic:spPr>
                    <a:xfrm>
                      <a:off x="0" y="0"/>
                      <a:ext cx="5486400" cy="415372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6791583, E 481349 i SWEREF 99 TM.</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Fridlysta arter</w:t>
      </w:r>
    </w:p>
    <w:p>
      <w:r>
        <w:t>Följande fridlysta arter har sina livsmiljöer och växtplatser i den avverkningsanmälda skogen: björktrast (NT, §4), spillkråka (NT, §4), talltita (NT, §4), tretåig hackspett (NT, §4), bivråk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Bivråk (§4)</w:t>
      </w:r>
      <w:r>
        <w:t xml:space="preserve">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Arten häckar i tät, ogallrad skog på högproduktiv mark, i södra Sverige främst i lövskogsrika trakter, i Norrland till stor del i högproduktiv granskog, Födan består av getinglarver och -puppor, men även av fågelungar och groddjur. Kring alla boplatser ska det lämnas en skyddszon vid avverkning eller andra skogliga åtgärder. Som tumregel ska skyddszonen vara så bred att boet inte syns väl från öppen mark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Bivråk – ekologi samt krav på livsmiljön</w:t>
      </w:r>
    </w:p>
    <w:p>
      <w:r>
        <w:t>Bivråk (§4) ingår i bilaga 1 i EU:s fågeldirektiv och är prioriterad art i Skogsvårdslagen. Den har minskat med 2/3-delar sedan 1970-talet och under de senaste 30 åren (tre generationer) med närmare 50 %. Inför rödlistan 2020 hade den stabiliserat sig på en längre nivå och blev klassad som livskraftig (LC). (SLU Artdatabanken, 2024).</w:t>
      </w:r>
    </w:p>
    <w:p>
      <w:r>
        <w:t>Arten häckar i tät, ogallrad skog på högproduktiv mark, i södra Sverige främst i lövskogsrika trakter, i Norrland till stor del i högproduktiv granskog, Födan består av getinglarver och -puppor, men även av fågelungar och groddjur. (SLU Artdatabanken, 2024).</w:t>
      </w:r>
    </w:p>
    <w:p>
      <w:r>
        <w:t>En trolig delförklaring till minskande bivråksstammar är att det i dagens skogs- och jordbruksbygder finns ett sämre utbud av insektsrika biotoper jämfört med förhållandena för 20–40 år sedan. Minskad insektsrikedom innebär förmodligen en lägre täthet av sociala getingsamhällen och därmed sämre förutsättningar för bivråkens häckning. En allmän "förtorkning" av landskapet (täckdikning, dikning av skogsmark etc.) liksom omföring av lövträdsrika marker till täta produktionsskogar av barrträd medför dessutom en försämrad förekomst av tättingar (trastar etc.) och grodor, vilket sannolikt påverkar bivråken negativt. (SLU Artdatabanken, 2024).</w:t>
      </w:r>
    </w:p>
    <w:p>
      <w:r>
        <w:t>Kring alla boplatser ska det lämnas en skyddszon vid avverkning eller andra skogliga åtgärder. Som tumregel ska skyddszonen vara så bred att boet inte syns väl från öppen mark (Skogsstyrelsen, 2016).</w:t>
      </w:r>
    </w:p>
    <w:p>
      <w:pPr>
        <w:pStyle w:val="Heading2"/>
      </w:pPr>
      <w:r>
        <w:t>Referenser – bivråk</w:t>
      </w:r>
    </w:p>
    <w:p>
      <w:r>
        <w:t xml:space="preserve">Skogsstyrelsen, 2016. </w:t>
      </w:r>
      <w:r>
        <w:rPr>
          <w:i/>
        </w:rPr>
        <w:t>Vägledning för hänsyn till bivråk.</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