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36188-2025 i Orsa kommun</w:t>
      </w:r>
    </w:p>
    <w:p>
      <w:r>
        <w:t>Denna tillsynsbegäran behandlar höga naturvärden i avverkningsanmälan A 36188-2025 i Orsa kommun som inkom 2025-07-29 och omfattar 7,8 ha.</w:t>
      </w:r>
    </w:p>
    <w:p>
      <w:pPr>
        <w:pStyle w:val="Caption"/>
      </w:pPr>
      <w:r>
        <w:drawing>
          <wp:inline xmlns:a="http://schemas.openxmlformats.org/drawingml/2006/main" xmlns:pic="http://schemas.openxmlformats.org/drawingml/2006/picture">
            <wp:extent cx="4729370" cy="5724000"/>
            <wp:docPr id="1" name="Picture 1"/>
            <wp:cNvGraphicFramePr>
              <a:graphicFrameLocks noChangeAspect="1"/>
            </wp:cNvGraphicFramePr>
            <a:graphic>
              <a:graphicData uri="http://schemas.openxmlformats.org/drawingml/2006/picture">
                <pic:pic>
                  <pic:nvPicPr>
                    <pic:cNvPr id="0" name="A 36188-2025 karta.png"/>
                    <pic:cNvPicPr/>
                  </pic:nvPicPr>
                  <pic:blipFill>
                    <a:blip r:embed="rId16"/>
                    <a:stretch>
                      <a:fillRect/>
                    </a:stretch>
                  </pic:blipFill>
                  <pic:spPr>
                    <a:xfrm>
                      <a:off x="0" y="0"/>
                      <a:ext cx="472937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6791585, E 481050 i SWEREF 99 TM.</w:t>
      </w:r>
    </w:p>
    <w:p>
      <w:r>
        <w:t>I och inom 21 meter från avverkningsanmälan finns fynd av 28 naturvårdsarter, varav 19 är rödlistade, 6 är fridlysta, 15 är typiska (T) och 5 är signalarter (S): fläckporing (VU, T), garnlav (VU, T), gräddporing (VU, T), smalfotad taggsvamp (VU), doftskinn (NT, T), dropptaggsvamp (NT, T), halmgul örnlav (NT), kötticka (NT), mörk kolflarnlav (NT), skarp dropptaggsvamp (NT), talltagel (NT, T), talltita (NT, §4), tretåig hackspett (NT, T, §4), ullticka (NT, T), vaddporing (NT), vedflamlav (NT), vedskivlav (NT, T), violettgrå tagellav (NT, T), vitgrynig nållav (NT), björksplintborre (S), bronshjon (S, T), mindre märgborre (S, T), vedticka (S, T), vågbandad barkbock (S), spillkråka (T, §4), tjäder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Halmgul örnlav (NT)</w:t>
      </w:r>
      <w:r>
        <w:t xml:space="preserve"> växer på bark och ved av gran och tall, oftast på riktigt gamla träd i gles boreal kontinuitetsskog eller myrkanter. Avverkning av boreal kontinuitetsskog är ett hot och skogsbruksåtgärder på eller i närheten av växtplatserna bör undvikas. Naturskogsartade skogar med förekomst av arten indikerar höga biologiska värden och bör bevaras. Särskilt angeläget är detta i naturskogsartade barrskogar. Minskningstakten för den svenska populationen bedöms vara nära gränsvärdet för Sårbar (VU)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doftskinn (NT, T), dropptaggsvamp (NT, T), talltagel (NT, T), tretåig hackspett (NT, T, §4), ullticka (NT, T), vedskivlav (NT, T), violettgrå tagellav (NT, T), bronshjon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