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47952-2023 i Orsa kommun</w:t>
      </w:r>
    </w:p>
    <w:p>
      <w:r>
        <w:t>Detta klagomål behandlar höga naturvärden i avverkningsanmälan A 47952-2023 i Orsa kommun som inkom 2023-10-05 och omfattar 15,2 ha.</w:t>
      </w:r>
    </w:p>
    <w:p>
      <w:pPr>
        <w:pStyle w:val="Caption"/>
      </w:pPr>
      <w:r>
        <w:drawing>
          <wp:inline xmlns:a="http://schemas.openxmlformats.org/drawingml/2006/main" xmlns:pic="http://schemas.openxmlformats.org/drawingml/2006/picture">
            <wp:extent cx="5486400" cy="5172398"/>
            <wp:docPr id="1" name="Picture 1"/>
            <wp:cNvGraphicFramePr>
              <a:graphicFrameLocks noChangeAspect="1"/>
            </wp:cNvGraphicFramePr>
            <a:graphic>
              <a:graphicData uri="http://schemas.openxmlformats.org/drawingml/2006/picture">
                <pic:pic>
                  <pic:nvPicPr>
                    <pic:cNvPr id="0" name="A 47952-2023 karta.png"/>
                    <pic:cNvPicPr/>
                  </pic:nvPicPr>
                  <pic:blipFill>
                    <a:blip r:embed="rId16"/>
                    <a:stretch>
                      <a:fillRect/>
                    </a:stretch>
                  </pic:blipFill>
                  <pic:spPr>
                    <a:xfrm>
                      <a:off x="0" y="0"/>
                      <a:ext cx="5486400" cy="5172398"/>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6822845, E 465207 i SWEREF 99 TM.</w:t>
      </w:r>
    </w:p>
    <w:p>
      <w:r>
        <w:t>I och inom 24 meter från avverkningsanmälan finns fynd av 23 naturvårdsarter, varav 16 är rödlistade, 3 är fridlysta, 18 är typiska (T) och 6 är signalarter (S): garnlav (VU, T), gräddporing (VU, T), skuggnål (VU), doftskinn (NT, T), dropptaggsvamp (NT, T), dvärgbägarlav (NT, T), grynig filtlav (NT, T), kolflarnlav (NT, T), lunglav (NT, T), mörk kolflarnlav (NT), skrovellav (NT, T), tretåig hackspett (NT, T, §4), vedflamlav (NT), vedskivlav (NT, T), violettgrå tagellav (NT, T), vitgrynig nållav (NT), bårdlav (S, T), norrlandslav (S, T), nästlav (S, T), plattlummer (S, T, §9), stuplav (S, T), vågbandad barkbock (S)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 xml:space="preserve">Skuggnål (VU) </w:t>
      </w:r>
      <w:r>
        <w:t>växer främst vid basen av gamla grova granar i gamla boreala barrskogar med hög bonitet och mycket hög luftfuktighet. Minskningstakten har uppgått till 30 (20–50) % under de senaste 50 åren och överstiger gränsvärdet för Sårbar (VU) enligt A-kriteriet. (A2bc+4bc). Vid skogliga inventeringar är skuggnål en art som måste eftersökas och dess växtplatser ska bedömas som nyckelbiotoper (SLU Artdatabanken, 2024).</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Grynig filtlav (NT)</w:t>
      </w:r>
      <w:r>
        <w:t xml:space="preserve"> tillhör en grupp fuktighetskrävande, storväxta bladlavar där också bl.a. lunglav (NT) ingår. Den växer framför allt på gamla mossiga stammar av lövträd, särskilt ädellövträd samt asp och sälg, i kulturmarker, lövskogar, halvöppna och lövrika barrblandskogar i områden med hög luftfuktighet. Arten indikerar långvarig förekomst av gamla lövträd och ett mikroklimat med konstant hög och jämn luftfuktighet. Grynig filtlav är typisk art för </w:t>
      </w:r>
      <w:r>
        <w:rPr>
          <w:i/>
        </w:rPr>
        <w:t>9010 Taiga, 9020 Nordlig ädellövskog, 9110 Näringsfattig bokskog, 9130 Näringsrik bokskog, 9160 Näringsrik ekskog, 9180 Ädellövskog i branter,</w:t>
      </w:r>
      <w:r>
        <w:t xml:space="preserve"> </w:t>
      </w:r>
      <w:r>
        <w:rPr>
          <w:i/>
        </w:rPr>
        <w:t>9190 Näringsfattig ekskog</w:t>
      </w:r>
      <w:r>
        <w:t xml:space="preserve"> och </w:t>
      </w:r>
      <w:r>
        <w:rPr>
          <w:i/>
        </w:rPr>
        <w:t>9070 Trädklädd betesmark</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23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