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47917-2023 i Orsa kommun</w:t>
      </w:r>
    </w:p>
    <w:p>
      <w:r>
        <w:t>Detta klagomål behandlar höga naturvärden i avverkningsanmälan A 47917-2023 i Orsa kommun som inkom 2023-10-05 och omfattar 23,3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47917-2023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6822950, E 465428 i SWEREF 99 TM.</w:t>
      </w:r>
    </w:p>
    <w:p>
      <w:r>
        <w:t>I och inom 25 meter från avverkningsanmälan finns fynd av 23 naturvårdsarter, varav 17 är rödlistade, 6 är fridlysta, 14 är typiska (T) och 3 är signalarter (S): garnlav (VU, T), gräddporing (VU, T), luggskinn (VU), blanksvart spiklav (NT), dropptaggsvamp (NT, T), dvärgbägarlav (NT, T), gärdselskinn (NT), kolflarnlav (NT, T), kortskaftad ärgspik (NT), mörk kolflarnlav (NT), nordtagging (NT), tretåig hackspett (NT, T, §4), ullticka (NT, T), varglav (NT, §8), vedflamlav (NT), vedskivlav (NT, T), violettgrå tagellav (NT, T), korallblylav (S, T), plattlummer (S, T, §9), stuplav (S, T), spillkråka (T, §4), tjäder (T, §4)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Luggskinn (VU)</w:t>
      </w:r>
      <w:r>
        <w:t xml:space="preserve"> är en vedlevande rötsvamp som växer på starkt multnade stammar av gran eller tall. Arten är uppenbarligen mycket sällsynt och förefaller att kräva riklig tillgång på död ved för att trivas. Inom den södra delen av utbredningsområdet är fortsatt existens osäker eftersom äldre skog är mycket ovanliga där. Artens kända växtplatser måste säkerställas. Dessutom bör arten eftersökas i andra äldre barrskogar i landet. Arten kan gynnas genom att fler områden med äldre barrskog i södra Sverige lämnas till fri utveckling (SLU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Gärdselskinn (NT)</w:t>
      </w:r>
      <w:r>
        <w:t xml:space="preserve"> är en barrskogsart som uppträder på starkt multnad, avbarkad ved av tall. Arten hotas av att tillgången på lämpligt substrat minskar i takt med att skogar med god tillgång på död ved avverkas. Artens växtplatser måste snarast säkerställas och lämnas för fri utveckling. Ytterligare reservat med äldre skog bör tillskapas i södra Sverige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