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51902-2023 i Orsa kommun</w:t>
      </w:r>
    </w:p>
    <w:p>
      <w:r>
        <w:t>Denna tillsynsbegäran behandlar höga naturvärden i avverkningsanmälan A 51902-2023 i Orsa kommun som inkom 2023-10-24 och omfattar 10,2 ha.</w:t>
      </w:r>
    </w:p>
    <w:p>
      <w:pPr>
        <w:pStyle w:val="Caption"/>
      </w:pPr>
      <w:r>
        <w:drawing>
          <wp:inline xmlns:a="http://schemas.openxmlformats.org/drawingml/2006/main" xmlns:pic="http://schemas.openxmlformats.org/drawingml/2006/picture">
            <wp:extent cx="4945618" cy="5724000"/>
            <wp:docPr id="1" name="Picture 1"/>
            <wp:cNvGraphicFramePr>
              <a:graphicFrameLocks noChangeAspect="1"/>
            </wp:cNvGraphicFramePr>
            <a:graphic>
              <a:graphicData uri="http://schemas.openxmlformats.org/drawingml/2006/picture">
                <pic:pic>
                  <pic:nvPicPr>
                    <pic:cNvPr id="0" name="A 51902-2023 karta.png"/>
                    <pic:cNvPicPr/>
                  </pic:nvPicPr>
                  <pic:blipFill>
                    <a:blip r:embed="rId16"/>
                    <a:stretch>
                      <a:fillRect/>
                    </a:stretch>
                  </pic:blipFill>
                  <pic:spPr>
                    <a:xfrm>
                      <a:off x="0" y="0"/>
                      <a:ext cx="4945618" cy="5724000"/>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6817156, E 486039 i SWEREF 99 TM.</w:t>
      </w:r>
    </w:p>
    <w:p>
      <w:r>
        <w:t>I och inom 16 meter från avverkningsanmälan finns fynd av 25 naturvårdsarter, varav 17 är rödlistade, 7 är fridlysta, 17 är typiska (T) och 6 är signalarter (S): garnlav (VU, T), gräddporing (VU, T), knärot (VU, T, §8), läderlappslav (VU, T), dropptaggsvamp (NT, T), dvärgbägarlav (NT, T), kötticka (NT), lunglav (NT, T), mörk kolflarnlav (NT), orange taggsvamp (NT, T), skrovellav (NT, T), tallfingersvamp (NT), tallriska (NT), talltita (NT, §4), tretåig hackspett (NT, T, §4), violettgrå tagellav (NT, T), vitgrynig nållav (NT), källpraktmossa (S, T), luddlav (S, T), plattlummer (S, T, §9), spindelblomster (S, T, §8), stuplav (S, T), svavelriska (S), spillkråka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24 fyndplatser för knärot registrerade på Artportalen. Figur 2 visar gränserna för buffertzoner på 50 m, som behöver lämnas kring fyndplatserna för att knärotslokalerna inte ska försvinna vid en avverkning. Av det avverkningsanmälda området överlappar 5.45 ha med buffertzonerna och får av detta skäl inte avverkas.</w:t>
      </w:r>
    </w:p>
    <w:p>
      <w:pPr>
        <w:pStyle w:val="Caption"/>
      </w:pPr>
      <w:r>
        <w:drawing>
          <wp:inline xmlns:a="http://schemas.openxmlformats.org/drawingml/2006/main" xmlns:pic="http://schemas.openxmlformats.org/drawingml/2006/picture">
            <wp:extent cx="5486400" cy="5612719"/>
            <wp:docPr id="2" name="Picture 2"/>
            <wp:cNvGraphicFramePr>
              <a:graphicFrameLocks noChangeAspect="1"/>
            </wp:cNvGraphicFramePr>
            <a:graphic>
              <a:graphicData uri="http://schemas.openxmlformats.org/drawingml/2006/picture">
                <pic:pic>
                  <pic:nvPicPr>
                    <pic:cNvPr id="0" name="A 51902-2023 karta knärot.png"/>
                    <pic:cNvPicPr/>
                  </pic:nvPicPr>
                  <pic:blipFill>
                    <a:blip r:embed="rId17"/>
                    <a:stretch>
                      <a:fillRect/>
                    </a:stretch>
                  </pic:blipFill>
                  <pic:spPr>
                    <a:xfrm>
                      <a:off x="0" y="0"/>
                      <a:ext cx="5486400" cy="561271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6817156, E 486039 i SWEREF 99 TM.</w:t>
      </w:r>
    </w:p>
    <w:p>
      <w:r>
        <w:rPr>
          <w:b/>
        </w:rPr>
        <w:t>Läderlappslav (VU)</w:t>
      </w:r>
      <w:r>
        <w:t xml:space="preserve"> växer på gamla lövträd, främst lönn, rönn, asp och ask, på lokaler med hög luftfuktighet. Lämpliga lokaler bör skyddas. Tills vidare bör lokaler i skog undantas från rationell skogsskötsel. Läderlappslav är typisk art för </w:t>
      </w:r>
      <w:r>
        <w:rPr>
          <w:i/>
        </w:rPr>
        <w:t xml:space="preserve">9010 Taiga, 9020 Nordlig ädellövskog, 9070 Trädklädd betesmark </w:t>
      </w:r>
      <w:r>
        <w:t xml:space="preserve">och </w:t>
      </w:r>
      <w:r>
        <w:rPr>
          <w:i/>
        </w:rPr>
        <w:t>9180 Ädellövskog i branter</w:t>
      </w:r>
      <w:r>
        <w:t xml:space="preserve">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 xml:space="preserve">Tallfingersvamp (NT) </w:t>
      </w:r>
      <w:r>
        <w:t>bildar mykorrhiza med tall och gran i äldre barrskog, framför allt sandtallskog men även i annan näringsfattig barrskog, huvudsakligen i äldre kontinuitetsskog. Den totala populationen i landet har minskat och bedöms fortsätta minska till följd av avverkning av barrskogar med trädkontinuitet. Minskningstakten för den svenska populationen bedöms vara nära gränsvärdet för Sårbar (VU). Slutavverkning, gödsling eller exploatering måste undvikas (SLU Artdatabanken, 2026).</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Källpraktmossa </w:t>
      </w:r>
      <w:r>
        <w:t xml:space="preserve">växer på fuktig eller blöt, näringsrik och ofta mineralrik mark, t.ex. i sumpskogar. Den är en god signalart i södra och mellersta Sverige och förekommer ofta i artrika miljöer med t.ex. kärrkammossa, bågpraktmossa, filtrundmossa och skogshakmossa. Eftersom mängden våtmarker har reducerats kraftigt i södra Sverige under det senaste seklet har förekomsten av källpraktmossa troligen minskat i söder. Källpraktmossa är typisk art för </w:t>
      </w:r>
      <w:r>
        <w:rPr>
          <w:i/>
        </w:rPr>
        <w:t xml:space="preserve">7160 Källor och källkärr, 9750 Svämlövskog </w:t>
      </w:r>
      <w:r>
        <w:t>och</w:t>
      </w:r>
      <w:r>
        <w:rPr>
          <w:i/>
        </w:rPr>
        <w:t xml:space="preserve"> 9080 Lövsumpskog </w:t>
      </w:r>
      <w:r>
        <w:t>(Nitare &amp; Skogsstyrelsen, 2019; 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gräddporing (VU, T), knärot (VU, T, §8), läderlappslav (VU, T), dropptaggsvamp (NT, T), dvärgbägarlav (NT, T), lunglav (NT, T), orange taggsvamp (NT, T), skrovellav (NT, T), tretåig hackspett (NT, T, §4), violettgrå tagellav (NT, T), källpraktmossa (S, T), luddlav (S, T), plattlummer (S, T, §9), spindelblomster (S, T, §8), stuplav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